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8240"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BC4E6E" w:rsidRPr="00287362" w:rsidRDefault="00BC4E6E"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4FB72C78" w:rsidR="00BC4E6E" w:rsidRPr="006223EA" w:rsidRDefault="00BC4E6E" w:rsidP="00A45BBC">
                            <w:pPr>
                              <w:spacing w:after="0" w:line="240" w:lineRule="auto"/>
                              <w:rPr>
                                <w:rFonts w:cs="Segoe UI"/>
                                <w:color w:val="233845" w:themeColor="text2"/>
                                <w:sz w:val="24"/>
                              </w:rPr>
                            </w:pPr>
                            <w:r>
                              <w:rPr>
                                <w:rFonts w:cs="Segoe UI"/>
                                <w:color w:val="233845" w:themeColor="text2"/>
                                <w:sz w:val="24"/>
                              </w:rPr>
                              <w:t>v1.16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BC4E6E" w:rsidRPr="00287362" w:rsidRDefault="00BC4E6E"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4FB72C78" w:rsidR="00BC4E6E" w:rsidRPr="006223EA" w:rsidRDefault="00BC4E6E" w:rsidP="00A45BBC">
                      <w:pPr>
                        <w:spacing w:after="0" w:line="240" w:lineRule="auto"/>
                        <w:rPr>
                          <w:rFonts w:cs="Segoe UI"/>
                          <w:color w:val="233845" w:themeColor="text2"/>
                          <w:sz w:val="24"/>
                        </w:rPr>
                      </w:pPr>
                      <w:r>
                        <w:rPr>
                          <w:rFonts w:cs="Segoe UI"/>
                          <w:color w:val="233845" w:themeColor="text2"/>
                          <w:sz w:val="24"/>
                        </w:rPr>
                        <w:t>v1.16 Release Notes</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End w:id="14"/>
    </w:p>
    <w:p w14:paraId="0DD28C25" w14:textId="63E7AC99" w:rsidR="0010746C" w:rsidRDefault="0010746C" w:rsidP="00886982">
      <w:pPr>
        <w:pStyle w:val="Heading2"/>
      </w:pPr>
      <w:bookmarkStart w:id="15" w:name="_Toc517953895"/>
      <w:r>
        <w:t>Purpose</w:t>
      </w:r>
      <w:bookmarkEnd w:id="15"/>
    </w:p>
    <w:p w14:paraId="6F1CF80A" w14:textId="11039FA9" w:rsidR="00F420B2" w:rsidRDefault="0064515E" w:rsidP="0064515E">
      <w:r>
        <w:t xml:space="preserve">This document provides a brief overview </w:t>
      </w:r>
      <w:r w:rsidR="00704CAF">
        <w:t>of the changes made between V1</w:t>
      </w:r>
      <w:r w:rsidR="00300D2F">
        <w:t>.</w:t>
      </w:r>
      <w:r w:rsidR="00C44F76">
        <w:t>1</w:t>
      </w:r>
      <w:r w:rsidR="00E8337F">
        <w:t>5</w:t>
      </w:r>
      <w:r w:rsidR="00704CAF">
        <w:t xml:space="preserve"> and V1.</w:t>
      </w:r>
      <w:r w:rsidR="00C44F76">
        <w:t>1</w:t>
      </w:r>
      <w:r w:rsidR="00E8337F">
        <w:t>6</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457B3B8" w14:textId="77777777" w:rsidR="00522A9A" w:rsidRDefault="00522A9A" w:rsidP="0064515E"/>
    <w:p w14:paraId="4DCB5DDB" w14:textId="21AFA341" w:rsidR="00E85C73" w:rsidRDefault="00E85C73" w:rsidP="00F420B2">
      <w:pPr>
        <w:pStyle w:val="Heading1"/>
      </w:pPr>
      <w:bookmarkStart w:id="16" w:name="_Toc517953898"/>
      <w:r>
        <w:t>Fixed Issues</w:t>
      </w:r>
      <w:bookmarkEnd w:id="16"/>
    </w:p>
    <w:p w14:paraId="6E27792A" w14:textId="154A0F12" w:rsidR="00E85C73" w:rsidRDefault="00E85C73" w:rsidP="004E63FA">
      <w:r>
        <w:t xml:space="preserve">The following </w:t>
      </w:r>
      <w:r w:rsidR="008018B6">
        <w:t>issues have been fixed in version 1.</w:t>
      </w:r>
      <w:r w:rsidR="00D44AF0">
        <w:t>1</w:t>
      </w:r>
      <w:r w:rsidR="00E8337F">
        <w:t>6</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4E63FA" w14:paraId="75BED357"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EA66700" w14:textId="4ED8F7E7" w:rsidR="00886982" w:rsidRPr="004E63FA" w:rsidRDefault="00886982" w:rsidP="00886982">
            <w:pPr>
              <w:pStyle w:val="BodyText"/>
              <w:rPr>
                <w:color w:val="FFFFFF" w:themeColor="background1"/>
              </w:rPr>
            </w:pPr>
            <w:r w:rsidRPr="004E63FA">
              <w:rPr>
                <w:color w:val="FFFFFF" w:themeColor="background1"/>
              </w:rPr>
              <w:t>Case</w:t>
            </w:r>
          </w:p>
        </w:tc>
        <w:tc>
          <w:tcPr>
            <w:tcW w:w="2551" w:type="dxa"/>
          </w:tcPr>
          <w:p w14:paraId="70CA37B9" w14:textId="74AB3EE4" w:rsidR="00886982" w:rsidRPr="004E63FA" w:rsidRDefault="00886982" w:rsidP="00886982">
            <w:pPr>
              <w:pStyle w:val="BodyText"/>
              <w:rPr>
                <w:color w:val="FFFFFF" w:themeColor="background1"/>
              </w:rPr>
            </w:pPr>
            <w:r w:rsidRPr="004E63FA">
              <w:rPr>
                <w:color w:val="FFFFFF" w:themeColor="background1"/>
              </w:rPr>
              <w:t>Title [sic]</w:t>
            </w:r>
          </w:p>
        </w:tc>
        <w:tc>
          <w:tcPr>
            <w:tcW w:w="6639" w:type="dxa"/>
          </w:tcPr>
          <w:p w14:paraId="18C8B469" w14:textId="6898B932" w:rsidR="00886982" w:rsidRPr="004E63FA" w:rsidRDefault="00886982" w:rsidP="00886982">
            <w:pPr>
              <w:pStyle w:val="BodyText"/>
              <w:rPr>
                <w:color w:val="FFFFFF" w:themeColor="background1"/>
              </w:rPr>
            </w:pPr>
            <w:r w:rsidRPr="004E63FA">
              <w:rPr>
                <w:color w:val="FFFFFF" w:themeColor="background1"/>
              </w:rPr>
              <w:t>Details</w:t>
            </w:r>
          </w:p>
        </w:tc>
      </w:tr>
      <w:tr w:rsidR="0021625B" w:rsidRPr="004E63FA" w14:paraId="3832F35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8643498" w14:textId="52D8F7AE" w:rsidR="0021625B" w:rsidRPr="004E63FA" w:rsidRDefault="009C75D4" w:rsidP="0021625B">
            <w:pPr>
              <w:jc w:val="left"/>
              <w:rPr>
                <w:rFonts w:cs="Segoe UI"/>
                <w:szCs w:val="20"/>
              </w:rPr>
            </w:pPr>
            <w:r w:rsidRPr="004E63FA">
              <w:rPr>
                <w:rFonts w:cs="Segoe UI"/>
                <w:szCs w:val="20"/>
              </w:rPr>
              <w:t>53948</w:t>
            </w:r>
          </w:p>
        </w:tc>
        <w:tc>
          <w:tcPr>
            <w:tcW w:w="2551" w:type="dxa"/>
          </w:tcPr>
          <w:p w14:paraId="17429924" w14:textId="148FE75E" w:rsidR="0021625B" w:rsidRPr="004E63FA" w:rsidRDefault="009C75D4" w:rsidP="0021625B">
            <w:pPr>
              <w:jc w:val="left"/>
              <w:rPr>
                <w:rFonts w:cs="Segoe UI"/>
                <w:szCs w:val="20"/>
              </w:rPr>
            </w:pPr>
            <w:r w:rsidRPr="004E63FA">
              <w:rPr>
                <w:rFonts w:cs="Segoe UI"/>
                <w:szCs w:val="20"/>
              </w:rPr>
              <w:t>Digital Document Required Tasks are still required after switch to DOTX</w:t>
            </w:r>
          </w:p>
        </w:tc>
        <w:tc>
          <w:tcPr>
            <w:tcW w:w="6639" w:type="dxa"/>
          </w:tcPr>
          <w:p w14:paraId="70F9BF76" w14:textId="34EA2F15" w:rsidR="0021625B" w:rsidRPr="004E63FA" w:rsidRDefault="009C75D4" w:rsidP="0021625B">
            <w:pPr>
              <w:jc w:val="left"/>
              <w:rPr>
                <w:rFonts w:cs="Segoe UI"/>
                <w:szCs w:val="20"/>
              </w:rPr>
            </w:pPr>
            <w:r w:rsidRPr="004E63FA">
              <w:rPr>
                <w:rFonts w:cs="Segoe UI"/>
                <w:szCs w:val="20"/>
              </w:rPr>
              <w:t xml:space="preserve">If a Digital Document has been set up for any ITR, Handover or PWL then switching to DOTX Generation mode did not remove the requirement to complete the Tasks on the Digital Document.  This has been fixed and now switching to DOTX Generation will not require any Digital Document </w:t>
            </w:r>
            <w:r w:rsidR="0046632C" w:rsidRPr="004E63FA">
              <w:rPr>
                <w:rFonts w:cs="Segoe UI"/>
                <w:szCs w:val="20"/>
              </w:rPr>
              <w:t xml:space="preserve">Tasks </w:t>
            </w:r>
            <w:r w:rsidRPr="004E63FA">
              <w:rPr>
                <w:rFonts w:cs="Segoe UI"/>
                <w:szCs w:val="20"/>
              </w:rPr>
              <w:t>to be complete.</w:t>
            </w:r>
          </w:p>
        </w:tc>
      </w:tr>
      <w:tr w:rsidR="0021625B" w:rsidRPr="004E63FA" w14:paraId="4F14C6ED" w14:textId="77777777" w:rsidTr="00F95316">
        <w:tc>
          <w:tcPr>
            <w:tcW w:w="841" w:type="dxa"/>
          </w:tcPr>
          <w:p w14:paraId="5FDFB91D" w14:textId="14568DCB" w:rsidR="0021625B" w:rsidRPr="004E63FA" w:rsidRDefault="009C75D4" w:rsidP="0021625B">
            <w:pPr>
              <w:jc w:val="left"/>
              <w:rPr>
                <w:rFonts w:cs="Segoe UI"/>
                <w:szCs w:val="20"/>
              </w:rPr>
            </w:pPr>
            <w:r w:rsidRPr="004E63FA">
              <w:rPr>
                <w:rFonts w:cs="Segoe UI"/>
                <w:szCs w:val="20"/>
              </w:rPr>
              <w:t>59071</w:t>
            </w:r>
          </w:p>
        </w:tc>
        <w:tc>
          <w:tcPr>
            <w:tcW w:w="2551" w:type="dxa"/>
          </w:tcPr>
          <w:p w14:paraId="24CD7131" w14:textId="0AFD1EF0" w:rsidR="0021625B" w:rsidRPr="004E63FA" w:rsidRDefault="009C75D4" w:rsidP="0021625B">
            <w:pPr>
              <w:jc w:val="left"/>
              <w:rPr>
                <w:rFonts w:cs="Segoe UI"/>
                <w:szCs w:val="20"/>
              </w:rPr>
            </w:pPr>
            <w:r w:rsidRPr="004E63FA">
              <w:rPr>
                <w:rFonts w:cs="Segoe UI"/>
                <w:szCs w:val="20"/>
              </w:rPr>
              <w:t>Equipment Type to ITR Conflict</w:t>
            </w:r>
          </w:p>
        </w:tc>
        <w:tc>
          <w:tcPr>
            <w:tcW w:w="6639" w:type="dxa"/>
          </w:tcPr>
          <w:p w14:paraId="787C2E9A" w14:textId="4C07D6EC" w:rsidR="0021625B" w:rsidRPr="004E63FA" w:rsidRDefault="009C75D4" w:rsidP="0021625B">
            <w:pPr>
              <w:jc w:val="left"/>
              <w:rPr>
                <w:rFonts w:cs="Segoe UI"/>
                <w:szCs w:val="20"/>
              </w:rPr>
            </w:pPr>
            <w:r w:rsidRPr="004E63FA">
              <w:rPr>
                <w:rFonts w:cs="Segoe UI"/>
                <w:szCs w:val="20"/>
              </w:rPr>
              <w:t>When creating the Equipment Type to ITR Matrix it was possible for two items in the Matrix to create duplicate Tag ITRs on a Tag</w:t>
            </w:r>
            <w:r w:rsidR="0046632C" w:rsidRPr="004E63FA">
              <w:rPr>
                <w:rFonts w:cs="Segoe UI"/>
                <w:szCs w:val="20"/>
              </w:rPr>
              <w:t>.</w:t>
            </w:r>
            <w:r w:rsidRPr="004E63FA">
              <w:rPr>
                <w:rFonts w:cs="Segoe UI"/>
                <w:szCs w:val="20"/>
              </w:rPr>
              <w:t xml:space="preserve"> </w:t>
            </w:r>
            <w:r w:rsidR="0046632C" w:rsidRPr="004E63FA">
              <w:rPr>
                <w:rFonts w:cs="Segoe UI"/>
                <w:szCs w:val="20"/>
              </w:rPr>
              <w:t>T</w:t>
            </w:r>
            <w:r w:rsidRPr="004E63FA">
              <w:rPr>
                <w:rFonts w:cs="Segoe UI"/>
                <w:szCs w:val="20"/>
              </w:rPr>
              <w:t>his would make it impossible to progress or edit these Tag ITRs in any</w:t>
            </w:r>
            <w:r w:rsidR="0046632C" w:rsidRPr="004E63FA">
              <w:rPr>
                <w:rFonts w:cs="Segoe UI"/>
                <w:szCs w:val="20"/>
              </w:rPr>
              <w:t xml:space="preserve"> </w:t>
            </w:r>
            <w:r w:rsidRPr="004E63FA">
              <w:rPr>
                <w:rFonts w:cs="Segoe UI"/>
                <w:szCs w:val="20"/>
              </w:rPr>
              <w:t>way as they would conflict with each other.  The Unique Constraints on the Equipment Type to ITR ha</w:t>
            </w:r>
            <w:r w:rsidR="0046632C" w:rsidRPr="004E63FA">
              <w:rPr>
                <w:rFonts w:cs="Segoe UI"/>
                <w:szCs w:val="20"/>
              </w:rPr>
              <w:t>s</w:t>
            </w:r>
            <w:r w:rsidRPr="004E63FA">
              <w:rPr>
                <w:rFonts w:cs="Segoe UI"/>
                <w:szCs w:val="20"/>
              </w:rPr>
              <w:t xml:space="preserve"> been changed</w:t>
            </w:r>
            <w:r w:rsidR="0046632C" w:rsidRPr="004E63FA">
              <w:rPr>
                <w:rFonts w:cs="Segoe UI"/>
                <w:szCs w:val="20"/>
              </w:rPr>
              <w:t>,</w:t>
            </w:r>
            <w:r w:rsidRPr="004E63FA">
              <w:rPr>
                <w:rFonts w:cs="Segoe UI"/>
                <w:szCs w:val="20"/>
              </w:rPr>
              <w:t xml:space="preserve"> forcing the user to put a unique Test Reference against conflicting items.</w:t>
            </w:r>
          </w:p>
        </w:tc>
      </w:tr>
      <w:tr w:rsidR="0021625B" w:rsidRPr="004E63FA" w14:paraId="7241AD6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FF59830" w14:textId="2DF67832" w:rsidR="0021625B" w:rsidRPr="004E63FA" w:rsidRDefault="009C75D4" w:rsidP="0021625B">
            <w:pPr>
              <w:jc w:val="left"/>
              <w:rPr>
                <w:rFonts w:cs="Segoe UI"/>
                <w:szCs w:val="20"/>
              </w:rPr>
            </w:pPr>
            <w:r w:rsidRPr="004E63FA">
              <w:rPr>
                <w:rFonts w:cs="Segoe UI"/>
                <w:szCs w:val="20"/>
              </w:rPr>
              <w:t>54481</w:t>
            </w:r>
            <w:r w:rsidR="00332B2A" w:rsidRPr="004E63FA">
              <w:rPr>
                <w:rFonts w:cs="Segoe UI"/>
                <w:szCs w:val="20"/>
              </w:rPr>
              <w:t xml:space="preserve"> &amp; 58889</w:t>
            </w:r>
          </w:p>
        </w:tc>
        <w:tc>
          <w:tcPr>
            <w:tcW w:w="2551" w:type="dxa"/>
          </w:tcPr>
          <w:p w14:paraId="2BDC338B" w14:textId="579B43C0" w:rsidR="0021625B" w:rsidRPr="004E63FA" w:rsidRDefault="009C75D4" w:rsidP="0021625B">
            <w:pPr>
              <w:jc w:val="left"/>
              <w:rPr>
                <w:rFonts w:cs="Segoe UI"/>
                <w:szCs w:val="20"/>
              </w:rPr>
            </w:pPr>
            <w:r w:rsidRPr="004E63FA">
              <w:rPr>
                <w:rFonts w:cs="Segoe UI"/>
                <w:szCs w:val="20"/>
              </w:rPr>
              <w:t>New Rows don’t retain size of the previous rows in Bookmarked Tables</w:t>
            </w:r>
          </w:p>
        </w:tc>
        <w:tc>
          <w:tcPr>
            <w:tcW w:w="6639" w:type="dxa"/>
          </w:tcPr>
          <w:p w14:paraId="39B227A0" w14:textId="63CCEBFB" w:rsidR="0021625B" w:rsidRPr="004E63FA" w:rsidRDefault="009C75D4" w:rsidP="0021625B">
            <w:pPr>
              <w:jc w:val="left"/>
              <w:rPr>
                <w:rFonts w:cs="Segoe UI"/>
                <w:szCs w:val="20"/>
              </w:rPr>
            </w:pPr>
            <w:r w:rsidRPr="004E63FA">
              <w:rPr>
                <w:rFonts w:cs="Segoe UI"/>
                <w:szCs w:val="20"/>
              </w:rPr>
              <w:t>When a table was bookmarked on a DOTX Template</w:t>
            </w:r>
            <w:r w:rsidR="0046632C" w:rsidRPr="004E63FA">
              <w:rPr>
                <w:rFonts w:cs="Segoe UI"/>
                <w:szCs w:val="20"/>
              </w:rPr>
              <w:t>,</w:t>
            </w:r>
            <w:r w:rsidRPr="004E63FA">
              <w:rPr>
                <w:rFonts w:cs="Segoe UI"/>
                <w:szCs w:val="20"/>
              </w:rPr>
              <w:t xml:space="preserve"> new rows added automatically to the table wouldn’t retain the size and formatting of the existing rows.   This has been corrected and now the last row of the table is duplicated for new rows.</w:t>
            </w:r>
          </w:p>
        </w:tc>
      </w:tr>
      <w:tr w:rsidR="009C75D4" w:rsidRPr="004E63FA" w14:paraId="486594BA" w14:textId="77777777" w:rsidTr="00F95316">
        <w:tc>
          <w:tcPr>
            <w:tcW w:w="841" w:type="dxa"/>
          </w:tcPr>
          <w:p w14:paraId="6ACCA5A4" w14:textId="00A497BC" w:rsidR="009C75D4" w:rsidRPr="004E63FA" w:rsidRDefault="009C75D4" w:rsidP="0021625B">
            <w:pPr>
              <w:jc w:val="left"/>
              <w:rPr>
                <w:rFonts w:cs="Segoe UI"/>
                <w:szCs w:val="20"/>
              </w:rPr>
            </w:pPr>
            <w:r w:rsidRPr="004E63FA">
              <w:rPr>
                <w:rFonts w:cs="Segoe UI"/>
                <w:szCs w:val="20"/>
              </w:rPr>
              <w:t>51132</w:t>
            </w:r>
          </w:p>
        </w:tc>
        <w:tc>
          <w:tcPr>
            <w:tcW w:w="2551" w:type="dxa"/>
          </w:tcPr>
          <w:p w14:paraId="47FB61DD" w14:textId="2433DB2B" w:rsidR="009C75D4" w:rsidRPr="004E63FA" w:rsidRDefault="009C75D4" w:rsidP="0021625B">
            <w:pPr>
              <w:jc w:val="left"/>
              <w:rPr>
                <w:rFonts w:cs="Segoe UI"/>
                <w:szCs w:val="20"/>
              </w:rPr>
            </w:pPr>
            <w:r w:rsidRPr="004E63FA">
              <w:rPr>
                <w:rFonts w:cs="Segoe UI"/>
                <w:szCs w:val="20"/>
              </w:rPr>
              <w:t>Duplicate Table Bookmarks cause DOTX Generation to fail</w:t>
            </w:r>
          </w:p>
        </w:tc>
        <w:tc>
          <w:tcPr>
            <w:tcW w:w="6639" w:type="dxa"/>
          </w:tcPr>
          <w:p w14:paraId="11E63AAC" w14:textId="7786F249" w:rsidR="009C75D4" w:rsidRPr="004E63FA" w:rsidRDefault="009C75D4" w:rsidP="0021625B">
            <w:pPr>
              <w:jc w:val="left"/>
              <w:rPr>
                <w:rFonts w:cs="Segoe UI"/>
                <w:szCs w:val="20"/>
              </w:rPr>
            </w:pPr>
            <w:r w:rsidRPr="004E63FA">
              <w:rPr>
                <w:rFonts w:cs="Segoe UI"/>
                <w:szCs w:val="20"/>
              </w:rPr>
              <w:t>When using Table Bookmarks each table must be given a unique name within the bookmark</w:t>
            </w:r>
            <w:r w:rsidR="0046632C" w:rsidRPr="004E63FA">
              <w:rPr>
                <w:rFonts w:cs="Segoe UI"/>
                <w:szCs w:val="20"/>
              </w:rPr>
              <w:t>s</w:t>
            </w:r>
            <w:r w:rsidRPr="004E63FA">
              <w:rPr>
                <w:rFonts w:cs="Segoe UI"/>
                <w:szCs w:val="20"/>
              </w:rPr>
              <w:t>.  If two or more bookmarks are given the same table name, then the DOTX Template would not be able to generate.  This behaviour has been corrected with the Document now able to be generated but conflicted tables will not be populated.</w:t>
            </w:r>
          </w:p>
        </w:tc>
      </w:tr>
      <w:tr w:rsidR="009C75D4" w:rsidRPr="004E63FA" w14:paraId="75B86AFE"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91032A7" w14:textId="707B6294" w:rsidR="009C75D4" w:rsidRPr="004E63FA" w:rsidRDefault="009C75D4" w:rsidP="0021625B">
            <w:pPr>
              <w:jc w:val="left"/>
              <w:rPr>
                <w:rFonts w:cs="Segoe UI"/>
                <w:szCs w:val="20"/>
              </w:rPr>
            </w:pPr>
            <w:r w:rsidRPr="004E63FA">
              <w:rPr>
                <w:rFonts w:cs="Segoe UI"/>
                <w:szCs w:val="20"/>
              </w:rPr>
              <w:t>54937</w:t>
            </w:r>
          </w:p>
        </w:tc>
        <w:tc>
          <w:tcPr>
            <w:tcW w:w="2551" w:type="dxa"/>
          </w:tcPr>
          <w:p w14:paraId="5D741153" w14:textId="1E2B4020" w:rsidR="009C75D4" w:rsidRPr="004E63FA" w:rsidRDefault="009C75D4" w:rsidP="0021625B">
            <w:pPr>
              <w:jc w:val="left"/>
              <w:rPr>
                <w:rFonts w:cs="Segoe UI"/>
                <w:szCs w:val="20"/>
              </w:rPr>
            </w:pPr>
            <w:r w:rsidRPr="004E63FA">
              <w:rPr>
                <w:rFonts w:cs="Segoe UI"/>
                <w:szCs w:val="20"/>
              </w:rPr>
              <w:t>Tag Procedure Report Filters are case sensitive</w:t>
            </w:r>
          </w:p>
        </w:tc>
        <w:tc>
          <w:tcPr>
            <w:tcW w:w="6639" w:type="dxa"/>
          </w:tcPr>
          <w:p w14:paraId="48C98321" w14:textId="4878013D" w:rsidR="009C75D4" w:rsidRPr="004E63FA" w:rsidRDefault="009C75D4" w:rsidP="0021625B">
            <w:pPr>
              <w:jc w:val="left"/>
              <w:rPr>
                <w:rFonts w:cs="Segoe UI"/>
                <w:szCs w:val="20"/>
              </w:rPr>
            </w:pPr>
            <w:r w:rsidRPr="004E63FA">
              <w:rPr>
                <w:rFonts w:cs="Segoe UI"/>
                <w:szCs w:val="20"/>
              </w:rPr>
              <w:t xml:space="preserve">When </w:t>
            </w:r>
            <w:r w:rsidR="00332B2A" w:rsidRPr="004E63FA">
              <w:rPr>
                <w:rFonts w:cs="Segoe UI"/>
                <w:szCs w:val="20"/>
              </w:rPr>
              <w:t xml:space="preserve">the Tag Fields were added to any Custom Detailed Procedure Report this would cause all the Filters to become case sensitive.  This behaviour has been corrected and now like all search filters the Procedure Report will be case insensitive.  </w:t>
            </w:r>
          </w:p>
        </w:tc>
      </w:tr>
      <w:tr w:rsidR="00332B2A" w:rsidRPr="004E63FA" w14:paraId="22096BEF" w14:textId="77777777" w:rsidTr="00F95316">
        <w:tc>
          <w:tcPr>
            <w:tcW w:w="841" w:type="dxa"/>
          </w:tcPr>
          <w:p w14:paraId="29B87D21" w14:textId="55923B16" w:rsidR="00332B2A" w:rsidRPr="004E63FA" w:rsidRDefault="00332B2A" w:rsidP="0021625B">
            <w:pPr>
              <w:jc w:val="left"/>
              <w:rPr>
                <w:rFonts w:cs="Segoe UI"/>
                <w:szCs w:val="20"/>
              </w:rPr>
            </w:pPr>
            <w:r w:rsidRPr="004E63FA">
              <w:rPr>
                <w:rFonts w:cs="Segoe UI"/>
                <w:szCs w:val="20"/>
              </w:rPr>
              <w:t>55071</w:t>
            </w:r>
          </w:p>
        </w:tc>
        <w:tc>
          <w:tcPr>
            <w:tcW w:w="2551" w:type="dxa"/>
          </w:tcPr>
          <w:p w14:paraId="25A52D90" w14:textId="4A47C68E" w:rsidR="00332B2A" w:rsidRPr="004E63FA" w:rsidRDefault="00332B2A" w:rsidP="0021625B">
            <w:pPr>
              <w:jc w:val="left"/>
              <w:rPr>
                <w:rFonts w:cs="Segoe UI"/>
                <w:szCs w:val="20"/>
              </w:rPr>
            </w:pPr>
            <w:r w:rsidRPr="004E63FA">
              <w:rPr>
                <w:rFonts w:cs="Segoe UI"/>
                <w:szCs w:val="20"/>
              </w:rPr>
              <w:t>Document Type changed if Save was clicked twice on Attachment Edit Page</w:t>
            </w:r>
          </w:p>
        </w:tc>
        <w:tc>
          <w:tcPr>
            <w:tcW w:w="6639" w:type="dxa"/>
          </w:tcPr>
          <w:p w14:paraId="4CD1A73B" w14:textId="224BF54F" w:rsidR="00332B2A" w:rsidRPr="004E63FA" w:rsidRDefault="00332B2A" w:rsidP="0021625B">
            <w:pPr>
              <w:jc w:val="left"/>
              <w:rPr>
                <w:rFonts w:cs="Segoe UI"/>
                <w:szCs w:val="20"/>
              </w:rPr>
            </w:pPr>
            <w:r w:rsidRPr="004E63FA">
              <w:rPr>
                <w:rFonts w:cs="Segoe UI"/>
                <w:szCs w:val="20"/>
              </w:rPr>
              <w:t xml:space="preserve">If the user clicked Save twice on the Attachment Edit page the Attachment Type displayed on the page would change to an incorrect Document Type.  No data would be affected but this was confusing.  This has been </w:t>
            </w:r>
            <w:r w:rsidR="0046632C" w:rsidRPr="004E63FA">
              <w:rPr>
                <w:rFonts w:cs="Segoe UI"/>
                <w:szCs w:val="20"/>
              </w:rPr>
              <w:t>fixed</w:t>
            </w:r>
            <w:r w:rsidRPr="004E63FA">
              <w:rPr>
                <w:rFonts w:cs="Segoe UI"/>
                <w:szCs w:val="20"/>
              </w:rPr>
              <w:t xml:space="preserve"> and the correct Document Type is always displayed.</w:t>
            </w:r>
          </w:p>
        </w:tc>
      </w:tr>
      <w:tr w:rsidR="00332B2A" w:rsidRPr="004E63FA" w14:paraId="24FC567E"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A2F00A3" w14:textId="13961636" w:rsidR="00332B2A" w:rsidRPr="004E63FA" w:rsidRDefault="00332B2A" w:rsidP="0021625B">
            <w:pPr>
              <w:jc w:val="left"/>
              <w:rPr>
                <w:rFonts w:cs="Segoe UI"/>
                <w:szCs w:val="20"/>
              </w:rPr>
            </w:pPr>
            <w:r w:rsidRPr="004E63FA">
              <w:rPr>
                <w:rFonts w:cs="Segoe UI"/>
                <w:szCs w:val="20"/>
              </w:rPr>
              <w:lastRenderedPageBreak/>
              <w:t>52510</w:t>
            </w:r>
          </w:p>
        </w:tc>
        <w:tc>
          <w:tcPr>
            <w:tcW w:w="2551" w:type="dxa"/>
          </w:tcPr>
          <w:p w14:paraId="78385FDA" w14:textId="12475124" w:rsidR="00332B2A" w:rsidRPr="004E63FA" w:rsidRDefault="00332B2A" w:rsidP="0021625B">
            <w:pPr>
              <w:jc w:val="left"/>
              <w:rPr>
                <w:rFonts w:cs="Segoe UI"/>
                <w:szCs w:val="20"/>
              </w:rPr>
            </w:pPr>
            <w:r w:rsidRPr="004E63FA">
              <w:rPr>
                <w:rFonts w:cs="Segoe UI"/>
                <w:szCs w:val="20"/>
              </w:rPr>
              <w:t>Errors occur when Custom Field matches the name of an existing field on the Entity.</w:t>
            </w:r>
          </w:p>
        </w:tc>
        <w:tc>
          <w:tcPr>
            <w:tcW w:w="6639" w:type="dxa"/>
          </w:tcPr>
          <w:p w14:paraId="29D35936" w14:textId="6A4C536E" w:rsidR="00332B2A" w:rsidRPr="004E63FA" w:rsidRDefault="00332B2A" w:rsidP="0021625B">
            <w:pPr>
              <w:jc w:val="left"/>
              <w:rPr>
                <w:rFonts w:cs="Segoe UI"/>
                <w:szCs w:val="20"/>
              </w:rPr>
            </w:pPr>
            <w:r w:rsidRPr="004E63FA">
              <w:rPr>
                <w:rFonts w:cs="Segoe UI"/>
                <w:szCs w:val="20"/>
              </w:rPr>
              <w:t>When creating Custom Fields, the add page would allow the custom field to be named the same as an existing field i.e. You could name a field on a Tag “Description”.  This would cause a conflict with the existing Description field and prevent some functionality such as Imports and Exports from working correctly.</w:t>
            </w:r>
          </w:p>
          <w:p w14:paraId="25C22B1A" w14:textId="53EDD0AF" w:rsidR="00332B2A" w:rsidRPr="004E63FA" w:rsidRDefault="00332B2A" w:rsidP="0021625B">
            <w:pPr>
              <w:jc w:val="left"/>
              <w:rPr>
                <w:rFonts w:cs="Segoe UI"/>
                <w:szCs w:val="20"/>
              </w:rPr>
            </w:pPr>
            <w:r w:rsidRPr="004E63FA">
              <w:rPr>
                <w:rFonts w:cs="Segoe UI"/>
                <w:szCs w:val="20"/>
              </w:rPr>
              <w:t>Additional Validation has now been added to the Custom Fields page to prevent fields with the same name as an existing field being added.</w:t>
            </w:r>
          </w:p>
        </w:tc>
      </w:tr>
      <w:tr w:rsidR="00332B2A" w:rsidRPr="004E63FA" w14:paraId="615E61C4" w14:textId="77777777" w:rsidTr="00F95316">
        <w:tc>
          <w:tcPr>
            <w:tcW w:w="841" w:type="dxa"/>
          </w:tcPr>
          <w:p w14:paraId="6A5CB225" w14:textId="01D46504" w:rsidR="00332B2A" w:rsidRPr="004E63FA" w:rsidRDefault="00332B2A" w:rsidP="0021625B">
            <w:pPr>
              <w:jc w:val="left"/>
              <w:rPr>
                <w:rFonts w:cs="Segoe UI"/>
                <w:szCs w:val="20"/>
              </w:rPr>
            </w:pPr>
            <w:r w:rsidRPr="004E63FA">
              <w:rPr>
                <w:rFonts w:cs="Segoe UI"/>
                <w:szCs w:val="20"/>
              </w:rPr>
              <w:t>59676</w:t>
            </w:r>
          </w:p>
        </w:tc>
        <w:tc>
          <w:tcPr>
            <w:tcW w:w="2551" w:type="dxa"/>
          </w:tcPr>
          <w:p w14:paraId="012B1534" w14:textId="6CB73149" w:rsidR="00332B2A" w:rsidRPr="004E63FA" w:rsidRDefault="00332B2A" w:rsidP="0021625B">
            <w:pPr>
              <w:jc w:val="left"/>
              <w:rPr>
                <w:rFonts w:cs="Segoe UI"/>
                <w:szCs w:val="20"/>
              </w:rPr>
            </w:pPr>
            <w:r w:rsidRPr="004E63FA">
              <w:rPr>
                <w:rFonts w:cs="Segoe UI"/>
                <w:szCs w:val="20"/>
              </w:rPr>
              <w:t>Work Pack Approval is missing from the Authorised Person Import and Export</w:t>
            </w:r>
          </w:p>
        </w:tc>
        <w:tc>
          <w:tcPr>
            <w:tcW w:w="6639" w:type="dxa"/>
          </w:tcPr>
          <w:p w14:paraId="3B92E113" w14:textId="77777777" w:rsidR="00332B2A" w:rsidRPr="004E63FA" w:rsidRDefault="00332B2A" w:rsidP="0021625B">
            <w:pPr>
              <w:jc w:val="left"/>
              <w:rPr>
                <w:rFonts w:cs="Segoe UI"/>
                <w:szCs w:val="20"/>
              </w:rPr>
            </w:pPr>
            <w:r w:rsidRPr="004E63FA">
              <w:rPr>
                <w:rFonts w:cs="Segoe UI"/>
                <w:szCs w:val="20"/>
              </w:rPr>
              <w:t>The Work Pack Approval option for Authorised Person was not present on the Authorised Person Export and could not be Imported.</w:t>
            </w:r>
          </w:p>
          <w:p w14:paraId="6CD9249C" w14:textId="15D764B7" w:rsidR="00332B2A" w:rsidRPr="004E63FA" w:rsidRDefault="00332B2A" w:rsidP="0021625B">
            <w:pPr>
              <w:jc w:val="left"/>
              <w:rPr>
                <w:rFonts w:cs="Segoe UI"/>
                <w:szCs w:val="20"/>
              </w:rPr>
            </w:pPr>
            <w:r w:rsidRPr="004E63FA">
              <w:rPr>
                <w:rFonts w:cs="Segoe UI"/>
                <w:szCs w:val="20"/>
              </w:rPr>
              <w:t>This has been fixed and the field is now available on both the Import and Export</w:t>
            </w:r>
          </w:p>
        </w:tc>
      </w:tr>
    </w:tbl>
    <w:p w14:paraId="65B3CDA6" w14:textId="77777777" w:rsidR="00522A9A" w:rsidRDefault="00522A9A" w:rsidP="00522A9A">
      <w:pPr>
        <w:pStyle w:val="Heading1"/>
        <w:numPr>
          <w:ilvl w:val="0"/>
          <w:numId w:val="0"/>
        </w:numPr>
        <w:ind w:left="567"/>
      </w:pPr>
      <w:bookmarkStart w:id="17" w:name="_Toc517953900"/>
    </w:p>
    <w:p w14:paraId="4C2BEAD3" w14:textId="7BCC3FAD" w:rsidR="00E85C73" w:rsidRDefault="00A83E28" w:rsidP="00F420B2">
      <w:pPr>
        <w:pStyle w:val="Heading1"/>
      </w:pPr>
      <w:r>
        <w:t>Known</w:t>
      </w:r>
      <w:r w:rsidR="00144332">
        <w:t xml:space="preserve"> Issues</w:t>
      </w:r>
      <w:bookmarkEnd w:id="17"/>
    </w:p>
    <w:p w14:paraId="38CCC31C" w14:textId="7B1965EE"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CF7B60" w:rsidRPr="00181165">
          <w:rPr>
            <w:rStyle w:val="Hyperlink"/>
          </w:rPr>
          <w:t>https://gotechnology.github.io/</w:t>
        </w:r>
      </w:hyperlink>
      <w:r w:rsidR="00300D2F">
        <w:t xml:space="preserve"> </w:t>
      </w:r>
      <w:bookmarkStart w:id="18" w:name="_Toc517953901"/>
    </w:p>
    <w:p w14:paraId="40EBEED6" w14:textId="15C17F60" w:rsidR="00CF0179" w:rsidRDefault="00CF0179">
      <w:pPr>
        <w:spacing w:after="0" w:line="240" w:lineRule="auto"/>
        <w:jc w:val="left"/>
        <w:rPr>
          <w:rFonts w:eastAsia="Times New Roman" w:cs="Segoe UI"/>
          <w:b/>
          <w:snapToGrid w:val="0"/>
          <w:sz w:val="28"/>
          <w:szCs w:val="32"/>
        </w:rPr>
      </w:pPr>
    </w:p>
    <w:p w14:paraId="75E7AAFD" w14:textId="7601DF99" w:rsidR="00E85C73" w:rsidRDefault="00144332" w:rsidP="00F420B2">
      <w:pPr>
        <w:pStyle w:val="Heading1"/>
      </w:pPr>
      <w:r>
        <w:t>Features</w:t>
      </w:r>
      <w:bookmarkEnd w:id="18"/>
    </w:p>
    <w:p w14:paraId="17CC3730" w14:textId="2D483780" w:rsidR="00300D2F" w:rsidRDefault="00300D2F" w:rsidP="00300D2F">
      <w:bookmarkStart w:id="19" w:name="_Toc517953902"/>
      <w:r>
        <w:t>The following functionality</w:t>
      </w:r>
      <w:r w:rsidR="007E5258">
        <w:t xml:space="preserve"> has been added in v1.</w:t>
      </w:r>
      <w:r w:rsidR="00BB0E4A">
        <w:t>1</w:t>
      </w:r>
      <w:r w:rsidR="00E8337F">
        <w:t>6</w:t>
      </w:r>
      <w:r>
        <w:t>:</w:t>
      </w:r>
    </w:p>
    <w:p w14:paraId="059CFB2B" w14:textId="52C1C8F4" w:rsidR="00E8337F" w:rsidRPr="00E31505" w:rsidRDefault="00300D2F" w:rsidP="00E31505">
      <w:r>
        <w:t>Functional:</w:t>
      </w:r>
      <w:bookmarkStart w:id="20" w:name="_Hlk520127587"/>
    </w:p>
    <w:p w14:paraId="01899A51" w14:textId="16F1C6F5" w:rsidR="00E31505" w:rsidRPr="00E31505" w:rsidRDefault="00E31505" w:rsidP="00E31505">
      <w:pPr>
        <w:pStyle w:val="ListParagraph"/>
        <w:numPr>
          <w:ilvl w:val="0"/>
          <w:numId w:val="5"/>
        </w:numPr>
      </w:pPr>
      <w:r w:rsidRPr="00E31505">
        <w:t>New fields on Work Pack: Document Reference and Detailed Descrip</w:t>
      </w:r>
      <w:bookmarkStart w:id="21" w:name="_GoBack"/>
      <w:bookmarkEnd w:id="21"/>
      <w:r w:rsidRPr="00E31505">
        <w:t>tion</w:t>
      </w:r>
    </w:p>
    <w:p w14:paraId="56F0E182" w14:textId="12B11FC2" w:rsidR="00E31505" w:rsidRPr="00E31505" w:rsidRDefault="002C3477" w:rsidP="00E31505">
      <w:pPr>
        <w:pStyle w:val="ListParagraph"/>
        <w:numPr>
          <w:ilvl w:val="0"/>
          <w:numId w:val="5"/>
        </w:numPr>
      </w:pPr>
      <w:r w:rsidRPr="00E31505">
        <w:t>New field on Job Card</w:t>
      </w:r>
      <w:r w:rsidR="00AC51E3" w:rsidRPr="00E31505">
        <w:t>: Detailed Description</w:t>
      </w:r>
    </w:p>
    <w:p w14:paraId="0907DC54" w14:textId="56776B14" w:rsidR="00E8337F" w:rsidRPr="00E31505" w:rsidRDefault="002C3477" w:rsidP="00E31505">
      <w:pPr>
        <w:pStyle w:val="ListParagraph"/>
        <w:numPr>
          <w:ilvl w:val="0"/>
          <w:numId w:val="5"/>
        </w:numPr>
      </w:pPr>
      <w:r w:rsidRPr="00E31505">
        <w:t>Notifications in menu bar</w:t>
      </w:r>
    </w:p>
    <w:p w14:paraId="002FEE19" w14:textId="52324BBB" w:rsidR="001604F9" w:rsidRDefault="00E8337F" w:rsidP="00E31505">
      <w:pPr>
        <w:pStyle w:val="ListParagraph"/>
        <w:numPr>
          <w:ilvl w:val="0"/>
          <w:numId w:val="5"/>
        </w:numPr>
      </w:pPr>
      <w:r w:rsidRPr="00E31505">
        <w:t>Download dashboard charts</w:t>
      </w:r>
    </w:p>
    <w:p w14:paraId="15B3D14C" w14:textId="158CE483" w:rsidR="00B15E8F" w:rsidRDefault="00B15E8F" w:rsidP="00E31505">
      <w:pPr>
        <w:pStyle w:val="ListParagraph"/>
        <w:numPr>
          <w:ilvl w:val="0"/>
          <w:numId w:val="5"/>
        </w:numPr>
      </w:pPr>
      <w:r>
        <w:t>Themes</w:t>
      </w:r>
    </w:p>
    <w:p w14:paraId="592729AA" w14:textId="79C3871A" w:rsidR="00313510" w:rsidRDefault="00313510" w:rsidP="00E31505">
      <w:pPr>
        <w:pStyle w:val="ListParagraph"/>
        <w:numPr>
          <w:ilvl w:val="0"/>
          <w:numId w:val="5"/>
        </w:numPr>
      </w:pPr>
      <w:r>
        <w:t>Multi Tag ITR Barcodes</w:t>
      </w:r>
    </w:p>
    <w:p w14:paraId="600578C5" w14:textId="77B6E575" w:rsidR="00BC4E6E" w:rsidRPr="00E31505" w:rsidRDefault="00BC4E6E" w:rsidP="00E31505">
      <w:pPr>
        <w:pStyle w:val="ListParagraph"/>
        <w:numPr>
          <w:ilvl w:val="0"/>
          <w:numId w:val="5"/>
        </w:numPr>
      </w:pPr>
      <w:r>
        <w:t>Additional Details on Delete Check</w:t>
      </w:r>
    </w:p>
    <w:p w14:paraId="4698E576" w14:textId="47D26849" w:rsidR="00525255" w:rsidRPr="00E31505" w:rsidRDefault="00525255" w:rsidP="00E31505">
      <w:pPr>
        <w:pStyle w:val="ListParagraph"/>
        <w:numPr>
          <w:ilvl w:val="0"/>
          <w:numId w:val="5"/>
        </w:numPr>
      </w:pPr>
      <w:r w:rsidRPr="00E31505">
        <w:t xml:space="preserve">Extended </w:t>
      </w:r>
      <w:r w:rsidR="00E660E7" w:rsidRPr="00E31505">
        <w:t>valid</w:t>
      </w:r>
      <w:r w:rsidRPr="00E31505">
        <w:t xml:space="preserve"> Date Range</w:t>
      </w:r>
    </w:p>
    <w:p w14:paraId="238491F9" w14:textId="6652FD02" w:rsidR="00525255" w:rsidRDefault="00525255" w:rsidP="00E31505">
      <w:pPr>
        <w:pStyle w:val="ListParagraph"/>
        <w:numPr>
          <w:ilvl w:val="0"/>
          <w:numId w:val="5"/>
        </w:numPr>
      </w:pPr>
      <w:r w:rsidRPr="00E31505">
        <w:t>Bookmar</w:t>
      </w:r>
      <w:r w:rsidR="00E660E7" w:rsidRPr="00E31505">
        <w:t>ks</w:t>
      </w:r>
      <w:r w:rsidRPr="00E31505">
        <w:t xml:space="preserve"> for levels</w:t>
      </w:r>
    </w:p>
    <w:p w14:paraId="43F98E7F" w14:textId="322A93A7" w:rsidR="00E8337F" w:rsidRDefault="00E8337F" w:rsidP="00E8337F">
      <w:pPr>
        <w:pStyle w:val="ListParagraph"/>
        <w:rPr>
          <w:rFonts w:eastAsia="Times New Roman"/>
          <w:b/>
          <w:snapToGrid w:val="0"/>
          <w:color w:val="884C91"/>
          <w:sz w:val="24"/>
          <w:szCs w:val="24"/>
        </w:rPr>
      </w:pPr>
    </w:p>
    <w:p w14:paraId="63281619" w14:textId="77777777" w:rsidR="00380CBB" w:rsidRDefault="00380CBB">
      <w:pPr>
        <w:spacing w:after="0" w:line="240" w:lineRule="auto"/>
        <w:jc w:val="left"/>
        <w:rPr>
          <w:rFonts w:eastAsia="Times New Roman"/>
          <w:b/>
          <w:snapToGrid w:val="0"/>
          <w:color w:val="884C91"/>
          <w:sz w:val="24"/>
          <w:szCs w:val="24"/>
        </w:rPr>
      </w:pPr>
      <w:r>
        <w:br w:type="page"/>
      </w:r>
    </w:p>
    <w:p w14:paraId="266F397F" w14:textId="45F856D5" w:rsidR="00AC51E3" w:rsidRDefault="00AC51E3" w:rsidP="00AC51E3">
      <w:pPr>
        <w:pStyle w:val="Heading2"/>
      </w:pPr>
      <w:r>
        <w:lastRenderedPageBreak/>
        <w:t>New Fields on Work Pack</w:t>
      </w:r>
    </w:p>
    <w:p w14:paraId="76F08E70" w14:textId="3402F422" w:rsidR="00B35B4B" w:rsidRDefault="00BC4F81" w:rsidP="00B35B4B">
      <w:pPr>
        <w:rPr>
          <w:b/>
        </w:rPr>
      </w:pPr>
      <w:r>
        <w:rPr>
          <w:b/>
        </w:rPr>
        <w:t>For more detail see Section 24.3.9.1 Work Pack Entity of the v1.16 Functional Specification</w:t>
      </w:r>
    </w:p>
    <w:p w14:paraId="76D245A2" w14:textId="12C9A2FF" w:rsidR="00965E2D" w:rsidRDefault="008C6476" w:rsidP="005C5E68">
      <w:pPr>
        <w:keepNext/>
        <w:jc w:val="center"/>
      </w:pPr>
      <w:r w:rsidRPr="008C6476">
        <w:rPr>
          <w:noProof/>
        </w:rPr>
        <w:drawing>
          <wp:inline distT="0" distB="0" distL="0" distR="0" wp14:anchorId="51801B8D" wp14:editId="7902B164">
            <wp:extent cx="5975787" cy="262890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9099" cy="2630357"/>
                    </a:xfrm>
                    <a:prstGeom prst="rect">
                      <a:avLst/>
                    </a:prstGeom>
                    <a:ln>
                      <a:solidFill>
                        <a:schemeClr val="accent1"/>
                      </a:solidFill>
                    </a:ln>
                  </pic:spPr>
                </pic:pic>
              </a:graphicData>
            </a:graphic>
          </wp:inline>
        </w:drawing>
      </w:r>
    </w:p>
    <w:p w14:paraId="5C7ECEE7" w14:textId="28370E32" w:rsidR="008C420C" w:rsidRDefault="008C420C" w:rsidP="008C420C">
      <w:pPr>
        <w:pStyle w:val="Figure"/>
      </w:pPr>
      <w:r>
        <w:t>Screenshot of the Work Pack View Page with the new fields highlighted</w:t>
      </w:r>
    </w:p>
    <w:p w14:paraId="166FBC1C" w14:textId="455E396E" w:rsidR="00C335BB" w:rsidRPr="00C335BB" w:rsidRDefault="00BC4F81" w:rsidP="00BC4F81">
      <w:r>
        <w:t>Document Reference and Detailed Description have been added to Work Packs.  Document Reference is limited to 50 characters whilst Detailed Description is limited to 4000 characters in length.</w:t>
      </w:r>
    </w:p>
    <w:p w14:paraId="02697D2E" w14:textId="23F410B3" w:rsidR="00AC51E3" w:rsidRDefault="00AC51E3" w:rsidP="00AC51E3"/>
    <w:p w14:paraId="65316557" w14:textId="6C88B969" w:rsidR="00AC51E3" w:rsidRDefault="00AC51E3" w:rsidP="00AC51E3">
      <w:pPr>
        <w:pStyle w:val="Heading2"/>
      </w:pPr>
      <w:r>
        <w:t xml:space="preserve">New </w:t>
      </w:r>
      <w:r w:rsidR="00E660E7">
        <w:t>Field on Job Card</w:t>
      </w:r>
    </w:p>
    <w:p w14:paraId="2C7F8F41" w14:textId="37973492" w:rsidR="00A3075A" w:rsidRDefault="00A3075A" w:rsidP="00A3075A">
      <w:pPr>
        <w:rPr>
          <w:b/>
        </w:rPr>
      </w:pPr>
      <w:r>
        <w:rPr>
          <w:b/>
        </w:rPr>
        <w:t>For more detail see Section 24.3.1.1 Job Card Entity of the v1.16 Functional Specification</w:t>
      </w:r>
    </w:p>
    <w:p w14:paraId="3EC8A6BF" w14:textId="752387DB" w:rsidR="00A3075A" w:rsidRDefault="008C6476" w:rsidP="00301B93">
      <w:pPr>
        <w:jc w:val="center"/>
        <w:rPr>
          <w:b/>
        </w:rPr>
      </w:pPr>
      <w:r w:rsidRPr="008C6476">
        <w:rPr>
          <w:b/>
          <w:noProof/>
        </w:rPr>
        <w:drawing>
          <wp:inline distT="0" distB="0" distL="0" distR="0" wp14:anchorId="6F1FCC80" wp14:editId="3BD2AC37">
            <wp:extent cx="5832351" cy="2895600"/>
            <wp:effectExtent l="19050" t="19050" r="1651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0184" cy="2899489"/>
                    </a:xfrm>
                    <a:prstGeom prst="rect">
                      <a:avLst/>
                    </a:prstGeom>
                    <a:ln>
                      <a:solidFill>
                        <a:schemeClr val="accent1"/>
                      </a:solidFill>
                    </a:ln>
                  </pic:spPr>
                </pic:pic>
              </a:graphicData>
            </a:graphic>
          </wp:inline>
        </w:drawing>
      </w:r>
    </w:p>
    <w:p w14:paraId="7013ABD1" w14:textId="06785827" w:rsidR="008C420C" w:rsidRDefault="008C420C" w:rsidP="008C420C">
      <w:pPr>
        <w:pStyle w:val="Figure"/>
      </w:pPr>
      <w:r>
        <w:t>Screenshot of the Job Card View Screen with the new Detailed Description field highlighted</w:t>
      </w:r>
    </w:p>
    <w:p w14:paraId="34B1EC29" w14:textId="2D56A564" w:rsidR="00A3075A" w:rsidRDefault="00A3075A" w:rsidP="00A3075A">
      <w:r>
        <w:t>Detailed Description has been added to Job Cards.  It is limited to 4000 characters in length.</w:t>
      </w:r>
    </w:p>
    <w:p w14:paraId="356BBAF4" w14:textId="13E4AC6E" w:rsidR="00E660E7" w:rsidRDefault="00E660E7" w:rsidP="00E660E7">
      <w:pPr>
        <w:pStyle w:val="Heading2"/>
      </w:pPr>
      <w:r>
        <w:lastRenderedPageBreak/>
        <w:t>Notifications in Menu Bar</w:t>
      </w:r>
    </w:p>
    <w:p w14:paraId="5ECAED56" w14:textId="6514EA67" w:rsidR="00E1128F" w:rsidRDefault="00E1128F" w:rsidP="00E1128F">
      <w:pPr>
        <w:rPr>
          <w:b/>
        </w:rPr>
      </w:pPr>
      <w:r>
        <w:rPr>
          <w:b/>
        </w:rPr>
        <w:t>For more detail see Section 17 Notifications of the v1.16 Functional Specification</w:t>
      </w:r>
    </w:p>
    <w:p w14:paraId="797E32DF" w14:textId="038B411B" w:rsidR="00E660E7" w:rsidRDefault="003B0E17" w:rsidP="00E660E7">
      <w:r>
        <w:rPr>
          <w:noProof/>
        </w:rPr>
        <w:drawing>
          <wp:inline distT="0" distB="0" distL="0" distR="0" wp14:anchorId="24B5ED64" wp14:editId="736B4FE8">
            <wp:extent cx="6120130" cy="3146425"/>
            <wp:effectExtent l="19050" t="19050" r="1397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146425"/>
                    </a:xfrm>
                    <a:prstGeom prst="rect">
                      <a:avLst/>
                    </a:prstGeom>
                    <a:ln>
                      <a:solidFill>
                        <a:schemeClr val="accent1"/>
                      </a:solidFill>
                    </a:ln>
                  </pic:spPr>
                </pic:pic>
              </a:graphicData>
            </a:graphic>
          </wp:inline>
        </w:drawing>
      </w:r>
    </w:p>
    <w:p w14:paraId="1E0A9276" w14:textId="67DE1ADA" w:rsidR="008D7FBD" w:rsidRDefault="008D7FBD" w:rsidP="008D7FBD">
      <w:pPr>
        <w:pStyle w:val="Figure"/>
      </w:pPr>
      <w:r>
        <w:t>Screenshot showing the new notification Panel</w:t>
      </w:r>
    </w:p>
    <w:p w14:paraId="578C96E9" w14:textId="77777777" w:rsidR="007C54B1" w:rsidRDefault="00E1128F" w:rsidP="004A1275">
      <w:r>
        <w:t xml:space="preserve">Notifications </w:t>
      </w:r>
      <w:r w:rsidR="007C54B1">
        <w:t xml:space="preserve">for imports and item assignments </w:t>
      </w:r>
      <w:r>
        <w:t xml:space="preserve">now appear in the menu bar, </w:t>
      </w:r>
      <w:r w:rsidR="007C54B1">
        <w:t>in addition to</w:t>
      </w:r>
      <w:r>
        <w:t xml:space="preserve"> the existing email and on-screen notifications.</w:t>
      </w:r>
      <w:r w:rsidR="007C54B1">
        <w:t xml:space="preserve"> </w:t>
      </w:r>
    </w:p>
    <w:p w14:paraId="0DD1992A" w14:textId="11E2ADB1" w:rsidR="00301B93" w:rsidRDefault="007C54B1" w:rsidP="004A1275">
      <w:r>
        <w:t xml:space="preserve">Notifications can be removed from the panel by clicking the “Clear All” button, or they may be removed individually. Notifications will be removed automatically </w:t>
      </w:r>
      <w:r w:rsidR="0046632C">
        <w:t>once</w:t>
      </w:r>
      <w:r>
        <w:t xml:space="preserve"> they are two weeks old.</w:t>
      </w:r>
    </w:p>
    <w:p w14:paraId="2AEAA18C" w14:textId="4BE12611" w:rsidR="00301B93" w:rsidRDefault="00301B93">
      <w:pPr>
        <w:spacing w:after="0" w:line="240" w:lineRule="auto"/>
        <w:jc w:val="left"/>
      </w:pPr>
    </w:p>
    <w:p w14:paraId="3929EF74" w14:textId="377BDFB9" w:rsidR="00E660E7" w:rsidRDefault="00E660E7" w:rsidP="00E660E7">
      <w:pPr>
        <w:pStyle w:val="Heading2"/>
      </w:pPr>
      <w:r>
        <w:t>Download Dashboard Charts</w:t>
      </w:r>
    </w:p>
    <w:p w14:paraId="0F32F225" w14:textId="4DD9CBA6" w:rsidR="009E4D20" w:rsidRPr="009E4D20" w:rsidRDefault="009E4D20" w:rsidP="009E4D20">
      <w:pPr>
        <w:rPr>
          <w:b/>
        </w:rPr>
      </w:pPr>
      <w:r>
        <w:rPr>
          <w:b/>
        </w:rPr>
        <w:t>For more detail see section 7.2 Home Screen Details of the v1.16 Functional Specification</w:t>
      </w:r>
    </w:p>
    <w:p w14:paraId="4A7223F4" w14:textId="77777777" w:rsidR="00310734" w:rsidRDefault="007611C5" w:rsidP="005A59D4">
      <w:pPr>
        <w:keepNext/>
        <w:jc w:val="center"/>
      </w:pPr>
      <w:r>
        <w:rPr>
          <w:noProof/>
        </w:rPr>
        <w:drawing>
          <wp:inline distT="0" distB="0" distL="0" distR="0" wp14:anchorId="1D70FF3D" wp14:editId="5C82930C">
            <wp:extent cx="5048250" cy="1777789"/>
            <wp:effectExtent l="19050" t="19050" r="1905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ChartDownload.PNG"/>
                    <pic:cNvPicPr/>
                  </pic:nvPicPr>
                  <pic:blipFill>
                    <a:blip r:embed="rId15">
                      <a:extLst>
                        <a:ext uri="{28A0092B-C50C-407E-A947-70E740481C1C}">
                          <a14:useLocalDpi xmlns:a14="http://schemas.microsoft.com/office/drawing/2010/main" val="0"/>
                        </a:ext>
                      </a:extLst>
                    </a:blip>
                    <a:stretch>
                      <a:fillRect/>
                    </a:stretch>
                  </pic:blipFill>
                  <pic:spPr>
                    <a:xfrm>
                      <a:off x="0" y="0"/>
                      <a:ext cx="5051803" cy="1779040"/>
                    </a:xfrm>
                    <a:prstGeom prst="rect">
                      <a:avLst/>
                    </a:prstGeom>
                    <a:ln>
                      <a:solidFill>
                        <a:schemeClr val="accent1"/>
                      </a:solidFill>
                    </a:ln>
                  </pic:spPr>
                </pic:pic>
              </a:graphicData>
            </a:graphic>
          </wp:inline>
        </w:drawing>
      </w:r>
    </w:p>
    <w:p w14:paraId="26428065" w14:textId="7D388E59" w:rsidR="007611C5" w:rsidRDefault="00310734" w:rsidP="00310734">
      <w:pPr>
        <w:pStyle w:val="Figure"/>
      </w:pPr>
      <w:r w:rsidRPr="00310734">
        <w:t xml:space="preserve"> Screenshot showing the new download button</w:t>
      </w:r>
    </w:p>
    <w:p w14:paraId="7DB9D813" w14:textId="62614F60" w:rsidR="00310734" w:rsidRPr="00310734" w:rsidRDefault="00310734" w:rsidP="00310734">
      <w:r>
        <w:t>The onscreen arc and Planned vs Actual Progress charts can now be downloaded into a pdf file.</w:t>
      </w:r>
      <w:r w:rsidR="005A59D4">
        <w:t xml:space="preserve">  These can be downloaded via the Download button on the top right of the chart.  The PDF Files will have a similar layout to </w:t>
      </w:r>
      <w:r w:rsidR="005A59D4">
        <w:lastRenderedPageBreak/>
        <w:t>our existing reports with the Report Name, Level E Name, and Logos displayed at the top and footer showing the page details.</w:t>
      </w:r>
    </w:p>
    <w:p w14:paraId="53B0A2AA" w14:textId="77777777" w:rsidR="009E4D20" w:rsidRDefault="009E4D20" w:rsidP="009D3276">
      <w:pPr>
        <w:keepNext/>
        <w:jc w:val="center"/>
      </w:pPr>
      <w:r>
        <w:rPr>
          <w:noProof/>
        </w:rPr>
        <w:drawing>
          <wp:inline distT="0" distB="0" distL="0" distR="0" wp14:anchorId="5EFDDA11" wp14:editId="79D1C991">
            <wp:extent cx="4819650" cy="3421461"/>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 Chart Download.PNG"/>
                    <pic:cNvPicPr/>
                  </pic:nvPicPr>
                  <pic:blipFill>
                    <a:blip r:embed="rId16">
                      <a:extLst>
                        <a:ext uri="{28A0092B-C50C-407E-A947-70E740481C1C}">
                          <a14:useLocalDpi xmlns:a14="http://schemas.microsoft.com/office/drawing/2010/main" val="0"/>
                        </a:ext>
                      </a:extLst>
                    </a:blip>
                    <a:stretch>
                      <a:fillRect/>
                    </a:stretch>
                  </pic:blipFill>
                  <pic:spPr>
                    <a:xfrm>
                      <a:off x="0" y="0"/>
                      <a:ext cx="4822191" cy="3423265"/>
                    </a:xfrm>
                    <a:prstGeom prst="rect">
                      <a:avLst/>
                    </a:prstGeom>
                    <a:ln>
                      <a:solidFill>
                        <a:schemeClr val="accent1"/>
                      </a:solidFill>
                    </a:ln>
                  </pic:spPr>
                </pic:pic>
              </a:graphicData>
            </a:graphic>
          </wp:inline>
        </w:drawing>
      </w:r>
    </w:p>
    <w:p w14:paraId="1EF931EB" w14:textId="564E29BD" w:rsidR="009E4D20" w:rsidRPr="009E4D20" w:rsidRDefault="009E4D20" w:rsidP="009E4D20">
      <w:pPr>
        <w:pStyle w:val="Figure"/>
      </w:pPr>
      <w:r w:rsidRPr="009E4D20">
        <w:t xml:space="preserve"> Screenshot of downloade</w:t>
      </w:r>
      <w:r w:rsidR="009D3276">
        <w:t>d Tag ITR</w:t>
      </w:r>
      <w:r w:rsidRPr="009E4D20">
        <w:t xml:space="preserve"> charts</w:t>
      </w:r>
    </w:p>
    <w:p w14:paraId="36A4FC12" w14:textId="7A7818E0" w:rsidR="00B15E8F" w:rsidRDefault="00B15E8F" w:rsidP="00B15E8F">
      <w:pPr>
        <w:pStyle w:val="Heading2"/>
      </w:pPr>
      <w:r>
        <w:t>Themes</w:t>
      </w:r>
    </w:p>
    <w:p w14:paraId="1626AFBA" w14:textId="2CEAA777" w:rsidR="008D7FBD" w:rsidRDefault="008D7FBD" w:rsidP="008D7FBD">
      <w:pPr>
        <w:rPr>
          <w:b/>
        </w:rPr>
      </w:pPr>
      <w:r>
        <w:rPr>
          <w:b/>
        </w:rPr>
        <w:t>For more detail see Section 5.3 – Colours &amp; Themes of the v1.16 Functional Specification</w:t>
      </w:r>
    </w:p>
    <w:p w14:paraId="6C5F30C6" w14:textId="77777777" w:rsidR="008D7FBD" w:rsidRPr="008D7FBD" w:rsidRDefault="008D7FBD" w:rsidP="008D7FBD"/>
    <w:p w14:paraId="51719891" w14:textId="65AE0F7B" w:rsidR="00313510" w:rsidRDefault="00313510" w:rsidP="00313510">
      <w:pPr>
        <w:jc w:val="center"/>
      </w:pPr>
      <w:r w:rsidRPr="00313510">
        <w:rPr>
          <w:noProof/>
        </w:rPr>
        <w:drawing>
          <wp:inline distT="0" distB="0" distL="0" distR="0" wp14:anchorId="6194DB84" wp14:editId="16F3CC25">
            <wp:extent cx="1667108" cy="1495634"/>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7108" cy="1495634"/>
                    </a:xfrm>
                    <a:prstGeom prst="rect">
                      <a:avLst/>
                    </a:prstGeom>
                    <a:ln>
                      <a:solidFill>
                        <a:schemeClr val="accent1"/>
                      </a:solidFill>
                    </a:ln>
                  </pic:spPr>
                </pic:pic>
              </a:graphicData>
            </a:graphic>
          </wp:inline>
        </w:drawing>
      </w:r>
    </w:p>
    <w:p w14:paraId="43A05108" w14:textId="0E571395" w:rsidR="00313510" w:rsidRPr="00313510" w:rsidRDefault="00313510" w:rsidP="00313510">
      <w:pPr>
        <w:pStyle w:val="Figure"/>
      </w:pPr>
      <w:r>
        <w:t>Screenshot of the New User Settings Menu under the Name</w:t>
      </w:r>
    </w:p>
    <w:p w14:paraId="2DC1CAC8" w14:textId="30857318" w:rsidR="00B15E8F" w:rsidRDefault="00773DCE" w:rsidP="00B15E8F">
      <w:r>
        <w:t>The ability to change the theme of hub2 has been added.  A user can now go to the</w:t>
      </w:r>
      <w:r w:rsidR="002057C6">
        <w:t>i</w:t>
      </w:r>
      <w:r>
        <w:t>r Settings to change between on</w:t>
      </w:r>
      <w:r w:rsidR="002057C6">
        <w:t>e</w:t>
      </w:r>
      <w:r>
        <w:t xml:space="preserve"> of three available themes</w:t>
      </w:r>
      <w:r w:rsidR="002057C6">
        <w:t>:</w:t>
      </w:r>
    </w:p>
    <w:p w14:paraId="78D62FF4" w14:textId="6E6C7392" w:rsidR="00773DCE" w:rsidRDefault="00773DCE" w:rsidP="00773DCE">
      <w:pPr>
        <w:pStyle w:val="ListParagraph"/>
        <w:numPr>
          <w:ilvl w:val="0"/>
          <w:numId w:val="6"/>
        </w:numPr>
      </w:pPr>
      <w:r>
        <w:t>Light – The Standard Blue/White Theme that has been available since v1.5</w:t>
      </w:r>
    </w:p>
    <w:p w14:paraId="519A8ADE" w14:textId="47DFC120" w:rsidR="00773DCE" w:rsidRDefault="00773DCE" w:rsidP="00773DCE">
      <w:pPr>
        <w:pStyle w:val="ListParagraph"/>
        <w:numPr>
          <w:ilvl w:val="0"/>
          <w:numId w:val="6"/>
        </w:numPr>
      </w:pPr>
      <w:r>
        <w:t>Dark – A New Dark Blue Theme which changes the background to a dark grey</w:t>
      </w:r>
    </w:p>
    <w:p w14:paraId="6E00BF2A" w14:textId="0BF0BA5D" w:rsidR="00773DCE" w:rsidRDefault="00313510" w:rsidP="00773DCE">
      <w:pPr>
        <w:pStyle w:val="ListParagraph"/>
        <w:numPr>
          <w:ilvl w:val="0"/>
          <w:numId w:val="6"/>
        </w:numPr>
      </w:pPr>
      <w:r>
        <w:t xml:space="preserve">Wood </w:t>
      </w:r>
      <w:r w:rsidR="00773DCE">
        <w:t>Purple – A Light Theme Based on the Wood Corporate Purple</w:t>
      </w:r>
    </w:p>
    <w:p w14:paraId="20F10041" w14:textId="12CDAE2C" w:rsidR="00B15E8F" w:rsidRPr="00B15E8F" w:rsidRDefault="00313510" w:rsidP="00B15E8F">
      <w:r w:rsidRPr="00313510">
        <w:rPr>
          <w:noProof/>
        </w:rPr>
        <w:lastRenderedPageBreak/>
        <w:drawing>
          <wp:inline distT="0" distB="0" distL="0" distR="0" wp14:anchorId="779F9B88" wp14:editId="09176C6F">
            <wp:extent cx="6120130" cy="1133475"/>
            <wp:effectExtent l="19050" t="19050" r="1397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133475"/>
                    </a:xfrm>
                    <a:prstGeom prst="rect">
                      <a:avLst/>
                    </a:prstGeom>
                    <a:ln>
                      <a:solidFill>
                        <a:schemeClr val="accent1"/>
                      </a:solidFill>
                    </a:ln>
                  </pic:spPr>
                </pic:pic>
              </a:graphicData>
            </a:graphic>
          </wp:inline>
        </w:drawing>
      </w:r>
    </w:p>
    <w:p w14:paraId="71AE22AA" w14:textId="1592E61C" w:rsidR="00E660E7" w:rsidRDefault="00910AE0" w:rsidP="00910AE0">
      <w:pPr>
        <w:pStyle w:val="Figure"/>
      </w:pPr>
      <w:r>
        <w:t>Screenshot</w:t>
      </w:r>
      <w:r w:rsidR="00E5313A">
        <w:t>s</w:t>
      </w:r>
      <w:r>
        <w:t xml:space="preserve"> showing the Various Themes</w:t>
      </w:r>
    </w:p>
    <w:p w14:paraId="2E78E14E" w14:textId="77777777" w:rsidR="00BC5C42" w:rsidRDefault="00BC5C42" w:rsidP="00BC5C42">
      <w:pPr>
        <w:pStyle w:val="Heading2"/>
        <w:numPr>
          <w:ilvl w:val="0"/>
          <w:numId w:val="0"/>
        </w:numPr>
        <w:ind w:left="567" w:hanging="567"/>
      </w:pPr>
    </w:p>
    <w:p w14:paraId="5BA1C2F3" w14:textId="614EFE26" w:rsidR="00BC4E6E" w:rsidRDefault="00BC4E6E" w:rsidP="00E660E7">
      <w:pPr>
        <w:pStyle w:val="Heading2"/>
      </w:pPr>
      <w:r>
        <w:t>Multi Tag ITR Barcodes</w:t>
      </w:r>
    </w:p>
    <w:p w14:paraId="51BB1170" w14:textId="1B52FABD" w:rsidR="00A43CA1" w:rsidRPr="00A43CA1" w:rsidRDefault="00A43CA1" w:rsidP="00A43CA1">
      <w:pPr>
        <w:rPr>
          <w:b/>
        </w:rPr>
      </w:pPr>
      <w:r>
        <w:rPr>
          <w:b/>
        </w:rPr>
        <w:t>For more detail see Section 36.3.1.2 – Multi Tag ITR Bookmarks of the v1.16 Functional Specification</w:t>
      </w:r>
    </w:p>
    <w:p w14:paraId="5B67F265" w14:textId="49458FD1" w:rsidR="00BC4E6E" w:rsidRDefault="00A43CA1" w:rsidP="00BC4E6E">
      <w:r>
        <w:t>When generating a Multi Tag ITR previously no barcode would be generated on the DOTX Templates.  The Barcoding has now been extended to correctly work with Multi Tag ITRs and generate these documents will produce a Barcode which can then be used on the “Upload Barcode Document” screen to upload the single document to the correct locations.</w:t>
      </w:r>
    </w:p>
    <w:p w14:paraId="2BB9E62F" w14:textId="77777777" w:rsidR="00BC5C42" w:rsidRDefault="00BC5C42">
      <w:pPr>
        <w:spacing w:after="0" w:line="240" w:lineRule="auto"/>
        <w:jc w:val="left"/>
        <w:rPr>
          <w:rFonts w:eastAsia="Times New Roman"/>
          <w:b/>
          <w:snapToGrid w:val="0"/>
          <w:color w:val="884C91"/>
          <w:sz w:val="24"/>
          <w:szCs w:val="24"/>
        </w:rPr>
      </w:pPr>
      <w:r>
        <w:br w:type="page"/>
      </w:r>
    </w:p>
    <w:p w14:paraId="28DD6631" w14:textId="0843CA70" w:rsidR="00BC4E6E" w:rsidRDefault="00BC4E6E" w:rsidP="00BC4E6E">
      <w:pPr>
        <w:pStyle w:val="Heading2"/>
      </w:pPr>
      <w:r>
        <w:lastRenderedPageBreak/>
        <w:t>Additional Details on Delete</w:t>
      </w:r>
    </w:p>
    <w:p w14:paraId="2C1185E0" w14:textId="352AFCDD" w:rsidR="00BC4E6E" w:rsidRDefault="00BC4E6E" w:rsidP="00BC4E6E">
      <w:pPr>
        <w:rPr>
          <w:b/>
        </w:rPr>
      </w:pPr>
      <w:r>
        <w:rPr>
          <w:b/>
        </w:rPr>
        <w:t xml:space="preserve">For more detail see Section </w:t>
      </w:r>
      <w:r w:rsidR="00081CD9">
        <w:rPr>
          <w:b/>
        </w:rPr>
        <w:t>8.2.1.3.6</w:t>
      </w:r>
      <w:r>
        <w:rPr>
          <w:b/>
        </w:rPr>
        <w:t xml:space="preserve"> </w:t>
      </w:r>
      <w:r w:rsidR="00081CD9">
        <w:rPr>
          <w:b/>
        </w:rPr>
        <w:t>–</w:t>
      </w:r>
      <w:r>
        <w:rPr>
          <w:b/>
        </w:rPr>
        <w:t xml:space="preserve"> </w:t>
      </w:r>
      <w:r w:rsidR="00081CD9">
        <w:rPr>
          <w:b/>
        </w:rPr>
        <w:t>Delete Check</w:t>
      </w:r>
      <w:r>
        <w:rPr>
          <w:b/>
        </w:rPr>
        <w:t xml:space="preserve"> of the v1.16 Functional Specification</w:t>
      </w:r>
    </w:p>
    <w:p w14:paraId="2A1D81B7" w14:textId="3FE119F3" w:rsidR="00BC4E6E" w:rsidRDefault="00BC4E6E" w:rsidP="00BC4E6E">
      <w:pPr>
        <w:jc w:val="center"/>
        <w:rPr>
          <w:b/>
        </w:rPr>
      </w:pPr>
      <w:r w:rsidRPr="00BC4E6E">
        <w:rPr>
          <w:b/>
          <w:noProof/>
        </w:rPr>
        <w:drawing>
          <wp:inline distT="0" distB="0" distL="0" distR="0" wp14:anchorId="7AC4CFE5" wp14:editId="474937AC">
            <wp:extent cx="4591050" cy="1877291"/>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959" cy="1879298"/>
                    </a:xfrm>
                    <a:prstGeom prst="rect">
                      <a:avLst/>
                    </a:prstGeom>
                    <a:ln>
                      <a:solidFill>
                        <a:schemeClr val="accent1"/>
                      </a:solidFill>
                    </a:ln>
                  </pic:spPr>
                </pic:pic>
              </a:graphicData>
            </a:graphic>
          </wp:inline>
        </w:drawing>
      </w:r>
    </w:p>
    <w:p w14:paraId="39AD48EF" w14:textId="3C156FF7" w:rsidR="00BC4E6E" w:rsidRDefault="00BC4E6E" w:rsidP="00BC4E6E">
      <w:pPr>
        <w:pStyle w:val="Figure"/>
      </w:pPr>
      <w:r>
        <w:t>Screenshot of the Delete Dialogue with the field name in brackets</w:t>
      </w:r>
    </w:p>
    <w:p w14:paraId="6A7F7DE2" w14:textId="4B281A3E" w:rsidR="00BC4E6E" w:rsidRDefault="00BC4E6E" w:rsidP="00BC4E6E">
      <w:r>
        <w:t>Tables like Authorised Person can be associated with several different tables (Tag ITR, Tag PWL, MOCs</w:t>
      </w:r>
      <w:r w:rsidR="00B16E64">
        <w:t>,</w:t>
      </w:r>
      <w:r>
        <w:t xml:space="preserve"> etc.) and several fields on that same table (Assigned To and Completed By).  This can make it harder to track down the records blocking these tables being deleted as the user will have to search against multiple fields. </w:t>
      </w:r>
    </w:p>
    <w:p w14:paraId="509A7B93" w14:textId="64D1A9D1" w:rsidR="00BC4E6E" w:rsidRDefault="00BC4E6E" w:rsidP="00BC4E6E">
      <w:r>
        <w:t xml:space="preserve">To make this easier the Delete dialogue information has been extended to tell the user </w:t>
      </w:r>
      <w:r w:rsidR="00B16E64">
        <w:t>which</w:t>
      </w:r>
      <w:r>
        <w:t xml:space="preserve"> </w:t>
      </w:r>
      <w:r w:rsidR="00B16E64">
        <w:t>table</w:t>
      </w:r>
      <w:r>
        <w:t xml:space="preserve"> the delete </w:t>
      </w:r>
      <w:r w:rsidR="00B16E64">
        <w:t xml:space="preserve">conflict </w:t>
      </w:r>
      <w:r>
        <w:t xml:space="preserve">is associated with as well as the field.  </w:t>
      </w:r>
    </w:p>
    <w:p w14:paraId="5A5682AA" w14:textId="15C05518" w:rsidR="00BC4E6E" w:rsidRDefault="00BC4E6E" w:rsidP="00BC4E6E">
      <w:r>
        <w:t>For field names which are the same as the table name (i.e. the Work Pack field on Job Cards is just called Work Pack) there will be no additional information.</w:t>
      </w:r>
    </w:p>
    <w:p w14:paraId="0E8D4028" w14:textId="77777777" w:rsidR="00BC5C42" w:rsidRPr="00BC4E6E" w:rsidRDefault="00BC5C42" w:rsidP="00BC4E6E">
      <w:pPr>
        <w:rPr>
          <w14:textOutline w14:w="9525" w14:cap="rnd" w14:cmpd="sng" w14:algn="ctr">
            <w14:solidFill>
              <w14:schemeClr w14:val="accent1"/>
            </w14:solidFill>
            <w14:prstDash w14:val="solid"/>
            <w14:bevel/>
          </w14:textOutline>
        </w:rPr>
      </w:pPr>
    </w:p>
    <w:p w14:paraId="5C72FC02" w14:textId="33405D1E" w:rsidR="00E660E7" w:rsidRDefault="00E660E7" w:rsidP="00E660E7">
      <w:pPr>
        <w:pStyle w:val="Heading2"/>
      </w:pPr>
      <w:r>
        <w:t>Extended valid Date Range</w:t>
      </w:r>
    </w:p>
    <w:p w14:paraId="60CB276C" w14:textId="1C41D7F6" w:rsidR="007C45BA" w:rsidRPr="007C45BA" w:rsidRDefault="007C45BA" w:rsidP="007C45BA">
      <w:pPr>
        <w:rPr>
          <w:b/>
        </w:rPr>
      </w:pPr>
      <w:r>
        <w:rPr>
          <w:b/>
        </w:rPr>
        <w:t>For more detail see Section 11.3 – Date Validation of the v1.16 Functional Specification</w:t>
      </w:r>
    </w:p>
    <w:p w14:paraId="47411BBE" w14:textId="7A4BA39F" w:rsidR="00E660E7" w:rsidRDefault="00B15E8F" w:rsidP="00E660E7">
      <w:r>
        <w:t>The Date Range allowed in hub2 has been extended.  Previously all dates had to be after 01 Jan 2000, this has now been extended and dates are allowed if they are after 01 Jan 1950.</w:t>
      </w:r>
    </w:p>
    <w:p w14:paraId="42D0F935" w14:textId="77777777" w:rsidR="00BC5C42" w:rsidRDefault="00BC5C42" w:rsidP="00E660E7"/>
    <w:p w14:paraId="44E27C04" w14:textId="32BCAA0C" w:rsidR="00E660E7" w:rsidRDefault="00E660E7" w:rsidP="00E660E7">
      <w:pPr>
        <w:pStyle w:val="Heading2"/>
      </w:pPr>
      <w:r>
        <w:t>Bookmarks for levels</w:t>
      </w:r>
    </w:p>
    <w:p w14:paraId="2E770259" w14:textId="0438D655" w:rsidR="00B15E8F" w:rsidRPr="00B15E8F" w:rsidRDefault="00B15E8F" w:rsidP="00B15E8F">
      <w:r>
        <w:t xml:space="preserve">When Creating a DOTX Template it is now possible to include the Level Bookmarks to include the names of the current Levels.  </w:t>
      </w:r>
      <w:bookmarkEnd w:id="2"/>
      <w:bookmarkEnd w:id="3"/>
      <w:bookmarkEnd w:id="4"/>
      <w:bookmarkEnd w:id="5"/>
      <w:bookmarkEnd w:id="6"/>
      <w:bookmarkEnd w:id="7"/>
      <w:bookmarkEnd w:id="8"/>
      <w:bookmarkEnd w:id="9"/>
      <w:bookmarkEnd w:id="10"/>
      <w:bookmarkEnd w:id="11"/>
      <w:bookmarkEnd w:id="12"/>
      <w:bookmarkEnd w:id="13"/>
      <w:bookmarkEnd w:id="19"/>
      <w:bookmarkEnd w:id="20"/>
    </w:p>
    <w:sectPr w:rsidR="00B15E8F" w:rsidRPr="00B15E8F" w:rsidSect="00B4205E">
      <w:headerReference w:type="default" r:id="rId20"/>
      <w:footerReference w:type="default" r:id="rId21"/>
      <w:headerReference w:type="first" r:id="rId22"/>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5D41A" w14:textId="77777777" w:rsidR="00BC4E6E" w:rsidRDefault="00BC4E6E" w:rsidP="00DE3F25">
      <w:pPr>
        <w:spacing w:after="0" w:line="240" w:lineRule="auto"/>
      </w:pPr>
      <w:r>
        <w:separator/>
      </w:r>
    </w:p>
  </w:endnote>
  <w:endnote w:type="continuationSeparator" w:id="0">
    <w:p w14:paraId="4B3C7617" w14:textId="77777777" w:rsidR="00BC4E6E" w:rsidRDefault="00BC4E6E" w:rsidP="00DE3F25">
      <w:pPr>
        <w:spacing w:after="0" w:line="240" w:lineRule="auto"/>
      </w:pPr>
      <w:r>
        <w:continuationSeparator/>
      </w:r>
    </w:p>
  </w:endnote>
  <w:endnote w:type="continuationNotice" w:id="1">
    <w:p w14:paraId="1A96B512" w14:textId="77777777" w:rsidR="00BC4E6E" w:rsidRDefault="00BC4E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C4E6E" w:rsidRPr="00B4205E" w:rsidRDefault="00BC4E6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245F8" w14:textId="77777777" w:rsidR="00BC4E6E" w:rsidRDefault="00BC4E6E" w:rsidP="00DE3F25">
      <w:pPr>
        <w:spacing w:after="0" w:line="240" w:lineRule="auto"/>
      </w:pPr>
      <w:bookmarkStart w:id="0" w:name="_Hlk520705609"/>
      <w:bookmarkEnd w:id="0"/>
      <w:r>
        <w:separator/>
      </w:r>
    </w:p>
  </w:footnote>
  <w:footnote w:type="continuationSeparator" w:id="0">
    <w:p w14:paraId="60DC95AF" w14:textId="77777777" w:rsidR="00BC4E6E" w:rsidRDefault="00BC4E6E" w:rsidP="00DE3F25">
      <w:pPr>
        <w:spacing w:after="0" w:line="240" w:lineRule="auto"/>
      </w:pPr>
      <w:r>
        <w:continuationSeparator/>
      </w:r>
    </w:p>
  </w:footnote>
  <w:footnote w:type="continuationNotice" w:id="1">
    <w:p w14:paraId="577516A0" w14:textId="77777777" w:rsidR="00BC4E6E" w:rsidRDefault="00BC4E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BC4E6E" w:rsidRDefault="00BC4E6E"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BC4E6E" w:rsidRDefault="00BC4E6E"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77C4E"/>
    <w:multiLevelType w:val="hybridMultilevel"/>
    <w:tmpl w:val="A06488E6"/>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4"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3"/>
  </w:num>
  <w:num w:numId="3">
    <w:abstractNumId w:val="4"/>
  </w:num>
  <w:num w:numId="4">
    <w:abstractNumId w:val="0"/>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3FA"/>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3C0D"/>
    <w:rsid w:val="00584609"/>
    <w:rsid w:val="00586186"/>
    <w:rsid w:val="00586307"/>
    <w:rsid w:val="00586BC4"/>
    <w:rsid w:val="00586ECE"/>
    <w:rsid w:val="00587018"/>
    <w:rsid w:val="00587A42"/>
    <w:rsid w:val="00587C70"/>
    <w:rsid w:val="0059042B"/>
    <w:rsid w:val="00592449"/>
    <w:rsid w:val="005927B3"/>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7741"/>
    <w:rsid w:val="008E7F4F"/>
    <w:rsid w:val="008F119B"/>
    <w:rsid w:val="008F18F8"/>
    <w:rsid w:val="008F1A19"/>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4D20"/>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1A9D"/>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E8A"/>
    <w:rsid w:val="00CD3752"/>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CF7B60"/>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48FD"/>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7CB"/>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4E63FA"/>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4E63FA"/>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63FA"/>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4E63FA"/>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4E63FA"/>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microsoft.com/sharepoint/v3/fields"/>
    <ds:schemaRef ds:uri="http://www.w3.org/XML/1998/namespace"/>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E2EE2384-60F8-4DA5-A41B-5A4C8BD1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7903</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2019-03-26T13:40:00Z</dcterms:created>
  <dcterms:modified xsi:type="dcterms:W3CDTF">2019-10-25T13:27:00Z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