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C3C50" w14:textId="77777777" w:rsidR="00A45BBC" w:rsidRDefault="00A45BBC">
      <w:pPr>
        <w:spacing w:after="0" w:line="240" w:lineRule="auto"/>
        <w:jc w:val="left"/>
        <w:rPr>
          <w:rFonts w:eastAsia="Times New Roman"/>
          <w:b/>
          <w:bCs/>
          <w:caps/>
          <w:color w:val="FFFFFF" w:themeColor="background1"/>
          <w:sz w:val="32"/>
          <w:szCs w:val="32"/>
        </w:rPr>
      </w:pPr>
      <w:r>
        <w:rPr>
          <w:noProof/>
          <w:lang w:eastAsia="en-GB"/>
        </w:rPr>
        <mc:AlternateContent>
          <mc:Choice Requires="wps">
            <w:drawing>
              <wp:anchor distT="0" distB="0" distL="114300" distR="114300" simplePos="0" relativeHeight="251658240" behindDoc="0" locked="0" layoutInCell="1" allowOverlap="1" wp14:anchorId="08F1E966" wp14:editId="4393B53D">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7CDEA"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35360C7" w14:textId="7DDD6CD8"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08464E">
                              <w:rPr>
                                <w:rFonts w:cs="Segoe UI"/>
                                <w:color w:val="233845" w:themeColor="text2"/>
                                <w:sz w:val="24"/>
                              </w:rPr>
                              <w:t>2</w:t>
                            </w:r>
                            <w:r w:rsidR="00080A7B">
                              <w:rPr>
                                <w:rFonts w:cs="Segoe UI"/>
                                <w:color w:val="233845" w:themeColor="text2"/>
                                <w:sz w:val="24"/>
                              </w:rPr>
                              <w:t>5</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1E966"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2267CDEA"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35360C7" w14:textId="7DDD6CD8"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08464E">
                        <w:rPr>
                          <w:rFonts w:cs="Segoe UI"/>
                          <w:color w:val="233845" w:themeColor="text2"/>
                          <w:sz w:val="24"/>
                        </w:rPr>
                        <w:t>2</w:t>
                      </w:r>
                      <w:r w:rsidR="00080A7B">
                        <w:rPr>
                          <w:rFonts w:cs="Segoe UI"/>
                          <w:color w:val="233845" w:themeColor="text2"/>
                          <w:sz w:val="24"/>
                        </w:rPr>
                        <w:t>5</w:t>
                      </w:r>
                      <w:r>
                        <w:rPr>
                          <w:rFonts w:cs="Segoe UI"/>
                          <w:color w:val="233845" w:themeColor="text2"/>
                          <w:sz w:val="24"/>
                        </w:rPr>
                        <w:t xml:space="preserve"> Release Notes</w:t>
                      </w:r>
                    </w:p>
                  </w:txbxContent>
                </v:textbox>
                <w10:wrap anchorx="margin"/>
              </v:shape>
            </w:pict>
          </mc:Fallback>
        </mc:AlternateContent>
      </w:r>
      <w:r>
        <w:br w:type="page"/>
      </w:r>
    </w:p>
    <w:p w14:paraId="5472A17A" w14:textId="77777777" w:rsidR="00E85C73" w:rsidRDefault="00BD18A6" w:rsidP="00F420B2">
      <w:pPr>
        <w:pStyle w:val="Heading1"/>
      </w:pPr>
      <w:bookmarkStart w:id="1" w:name="_Toc517953894"/>
      <w:r>
        <w:lastRenderedPageBreak/>
        <w:t>About this Document</w:t>
      </w:r>
      <w:bookmarkEnd w:id="1"/>
    </w:p>
    <w:p w14:paraId="4CA9AC0C" w14:textId="654EF545" w:rsidR="0010746C" w:rsidRDefault="0010746C" w:rsidP="00886982">
      <w:pPr>
        <w:pStyle w:val="Heading2"/>
      </w:pPr>
      <w:bookmarkStart w:id="2" w:name="_Toc517953895"/>
      <w:r>
        <w:t>Purpose</w:t>
      </w:r>
      <w:bookmarkEnd w:id="2"/>
    </w:p>
    <w:p w14:paraId="243A2353" w14:textId="6092992E" w:rsidR="00F420B2" w:rsidRPr="0084797D" w:rsidRDefault="0064515E" w:rsidP="0064515E">
      <w:pPr>
        <w:rPr>
          <w:sz w:val="18"/>
        </w:rPr>
      </w:pPr>
      <w:r w:rsidRPr="0084797D">
        <w:rPr>
          <w:sz w:val="18"/>
        </w:rPr>
        <w:t xml:space="preserve">This document provides a brief overview </w:t>
      </w:r>
      <w:r w:rsidR="00704CAF" w:rsidRPr="0084797D">
        <w:rPr>
          <w:sz w:val="18"/>
        </w:rPr>
        <w:t xml:space="preserve">of </w:t>
      </w:r>
      <w:r w:rsidR="0080675D" w:rsidRPr="0084797D">
        <w:rPr>
          <w:sz w:val="18"/>
        </w:rPr>
        <w:t>completed bug fixes between</w:t>
      </w:r>
      <w:r w:rsidR="00704CAF" w:rsidRPr="0084797D">
        <w:rPr>
          <w:sz w:val="18"/>
        </w:rPr>
        <w:t xml:space="preserve"> V1</w:t>
      </w:r>
      <w:r w:rsidR="00300D2F" w:rsidRPr="0084797D">
        <w:rPr>
          <w:sz w:val="18"/>
        </w:rPr>
        <w:t>.</w:t>
      </w:r>
      <w:r w:rsidR="0008464E" w:rsidRPr="0084797D">
        <w:rPr>
          <w:sz w:val="18"/>
        </w:rPr>
        <w:t>2</w:t>
      </w:r>
      <w:r w:rsidR="00080A7B">
        <w:rPr>
          <w:sz w:val="18"/>
        </w:rPr>
        <w:t>4</w:t>
      </w:r>
      <w:r w:rsidR="00704CAF" w:rsidRPr="0084797D">
        <w:rPr>
          <w:sz w:val="18"/>
        </w:rPr>
        <w:t xml:space="preserve"> and V1.</w:t>
      </w:r>
      <w:r w:rsidR="0008464E" w:rsidRPr="0084797D">
        <w:rPr>
          <w:sz w:val="18"/>
        </w:rPr>
        <w:t>2</w:t>
      </w:r>
      <w:r w:rsidR="00080A7B">
        <w:rPr>
          <w:sz w:val="18"/>
        </w:rPr>
        <w:t>5</w:t>
      </w:r>
      <w:r w:rsidRPr="0084797D">
        <w:rPr>
          <w:sz w:val="18"/>
        </w:rPr>
        <w:t xml:space="preserve"> of </w:t>
      </w:r>
      <w:r w:rsidR="00287362" w:rsidRPr="0084797D">
        <w:rPr>
          <w:sz w:val="18"/>
        </w:rPr>
        <w:t xml:space="preserve">GoTechnology </w:t>
      </w:r>
      <w:r w:rsidR="0080675D" w:rsidRPr="0084797D">
        <w:rPr>
          <w:sz w:val="18"/>
        </w:rPr>
        <w:t>hub2.</w:t>
      </w:r>
    </w:p>
    <w:p w14:paraId="2BE64247" w14:textId="77777777" w:rsidR="00E85C73" w:rsidRDefault="00E85C73" w:rsidP="00F420B2">
      <w:pPr>
        <w:pStyle w:val="Heading1"/>
      </w:pPr>
      <w:bookmarkStart w:id="3" w:name="_Toc517953898"/>
      <w:r>
        <w:t>Fixed Issues</w:t>
      </w:r>
      <w:bookmarkEnd w:id="3"/>
    </w:p>
    <w:p w14:paraId="3B8971A3" w14:textId="3AE935F3" w:rsidR="00E85C73" w:rsidRPr="0084797D" w:rsidRDefault="00E85C73" w:rsidP="00F420B2">
      <w:pPr>
        <w:rPr>
          <w:sz w:val="18"/>
        </w:rPr>
      </w:pPr>
      <w:r w:rsidRPr="0084797D">
        <w:rPr>
          <w:sz w:val="18"/>
        </w:rPr>
        <w:t xml:space="preserve">The following </w:t>
      </w:r>
      <w:r w:rsidR="008018B6" w:rsidRPr="0084797D">
        <w:rPr>
          <w:sz w:val="18"/>
        </w:rPr>
        <w:t>issues have been fixed in version 1.</w:t>
      </w:r>
      <w:r w:rsidR="004F0883" w:rsidRPr="0084797D">
        <w:rPr>
          <w:sz w:val="18"/>
        </w:rPr>
        <w:t>2</w:t>
      </w:r>
      <w:r w:rsidR="00E23728">
        <w:rPr>
          <w:sz w:val="18"/>
        </w:rPr>
        <w:t>5</w:t>
      </w:r>
      <w:r w:rsidR="008018B6" w:rsidRPr="0084797D">
        <w:rPr>
          <w:sz w:val="18"/>
        </w:rPr>
        <w:t xml:space="preserve"> of hub2</w:t>
      </w:r>
    </w:p>
    <w:tbl>
      <w:tblPr>
        <w:tblStyle w:val="MiscTable"/>
        <w:tblW w:w="10254" w:type="dxa"/>
        <w:tblLook w:val="0420" w:firstRow="1" w:lastRow="0" w:firstColumn="0" w:lastColumn="0" w:noHBand="0" w:noVBand="1"/>
      </w:tblPr>
      <w:tblGrid>
        <w:gridCol w:w="1064"/>
        <w:gridCol w:w="2551"/>
        <w:gridCol w:w="6639"/>
      </w:tblGrid>
      <w:tr w:rsidR="00886982" w:rsidRPr="0084797D" w14:paraId="6DADDA6F" w14:textId="77777777" w:rsidTr="003A01D5">
        <w:trPr>
          <w:cnfStyle w:val="100000000000" w:firstRow="1" w:lastRow="0" w:firstColumn="0" w:lastColumn="0" w:oddVBand="0" w:evenVBand="0" w:oddHBand="0" w:evenHBand="0" w:firstRowFirstColumn="0" w:firstRowLastColumn="0" w:lastRowFirstColumn="0" w:lastRowLastColumn="0"/>
        </w:trPr>
        <w:tc>
          <w:tcPr>
            <w:tcW w:w="1064" w:type="dxa"/>
          </w:tcPr>
          <w:p w14:paraId="22D95DDF" w14:textId="77777777" w:rsidR="00886982" w:rsidRPr="0084797D" w:rsidRDefault="00886982" w:rsidP="00886982">
            <w:pPr>
              <w:pStyle w:val="BodyText"/>
              <w:rPr>
                <w:color w:val="FFFFFF" w:themeColor="background1"/>
                <w:sz w:val="18"/>
                <w:szCs w:val="18"/>
              </w:rPr>
            </w:pPr>
            <w:r w:rsidRPr="0084797D">
              <w:rPr>
                <w:color w:val="FFFFFF" w:themeColor="background1"/>
                <w:sz w:val="18"/>
                <w:szCs w:val="18"/>
              </w:rPr>
              <w:t>Case</w:t>
            </w:r>
          </w:p>
        </w:tc>
        <w:tc>
          <w:tcPr>
            <w:tcW w:w="2551" w:type="dxa"/>
          </w:tcPr>
          <w:p w14:paraId="07F2FDD2" w14:textId="11428239" w:rsidR="00886982" w:rsidRPr="0084797D" w:rsidRDefault="00886982" w:rsidP="00886982">
            <w:pPr>
              <w:pStyle w:val="BodyText"/>
              <w:rPr>
                <w:color w:val="FFFFFF" w:themeColor="background1"/>
                <w:sz w:val="18"/>
                <w:szCs w:val="18"/>
              </w:rPr>
            </w:pPr>
            <w:r w:rsidRPr="0084797D">
              <w:rPr>
                <w:color w:val="FFFFFF" w:themeColor="background1"/>
                <w:sz w:val="18"/>
                <w:szCs w:val="18"/>
              </w:rPr>
              <w:t>Title</w:t>
            </w:r>
          </w:p>
        </w:tc>
        <w:tc>
          <w:tcPr>
            <w:tcW w:w="6639" w:type="dxa"/>
          </w:tcPr>
          <w:p w14:paraId="1000118C" w14:textId="77777777" w:rsidR="00886982" w:rsidRPr="0084797D" w:rsidRDefault="00886982" w:rsidP="00886982">
            <w:pPr>
              <w:pStyle w:val="BodyText"/>
              <w:rPr>
                <w:color w:val="FFFFFF" w:themeColor="background1"/>
                <w:sz w:val="18"/>
                <w:szCs w:val="18"/>
              </w:rPr>
            </w:pPr>
            <w:r w:rsidRPr="0084797D">
              <w:rPr>
                <w:color w:val="FFFFFF" w:themeColor="background1"/>
                <w:sz w:val="18"/>
                <w:szCs w:val="18"/>
              </w:rPr>
              <w:t>Details</w:t>
            </w:r>
          </w:p>
        </w:tc>
      </w:tr>
      <w:tr w:rsidR="00301FE7" w:rsidRPr="0084797D" w14:paraId="26B4FF30" w14:textId="77777777" w:rsidTr="003A01D5">
        <w:trPr>
          <w:cnfStyle w:val="000000100000" w:firstRow="0" w:lastRow="0" w:firstColumn="0" w:lastColumn="0" w:oddVBand="0" w:evenVBand="0" w:oddHBand="1" w:evenHBand="0" w:firstRowFirstColumn="0" w:firstRowLastColumn="0" w:lastRowFirstColumn="0" w:lastRowLastColumn="0"/>
        </w:trPr>
        <w:tc>
          <w:tcPr>
            <w:tcW w:w="1064" w:type="dxa"/>
          </w:tcPr>
          <w:p w14:paraId="20AA68F8" w14:textId="69E9F746" w:rsidR="00301FE7" w:rsidRPr="0084797D" w:rsidRDefault="003E3753" w:rsidP="0021625B">
            <w:pPr>
              <w:jc w:val="left"/>
              <w:rPr>
                <w:rFonts w:cs="Segoe UI"/>
                <w:sz w:val="18"/>
                <w:szCs w:val="18"/>
              </w:rPr>
            </w:pPr>
            <w:r>
              <w:rPr>
                <w:rFonts w:cs="Segoe UI"/>
                <w:sz w:val="18"/>
                <w:szCs w:val="18"/>
              </w:rPr>
              <w:t>63888</w:t>
            </w:r>
          </w:p>
        </w:tc>
        <w:tc>
          <w:tcPr>
            <w:tcW w:w="2551" w:type="dxa"/>
          </w:tcPr>
          <w:p w14:paraId="4489B42E" w14:textId="58DEAA52" w:rsidR="00301FE7" w:rsidRPr="0084797D" w:rsidRDefault="003E3753" w:rsidP="003A01D5">
            <w:pPr>
              <w:pStyle w:val="BodyText"/>
              <w:rPr>
                <w:sz w:val="18"/>
                <w:szCs w:val="18"/>
              </w:rPr>
            </w:pPr>
            <w:r>
              <w:rPr>
                <w:sz w:val="18"/>
                <w:szCs w:val="18"/>
              </w:rPr>
              <w:t xml:space="preserve">Double Validation message on </w:t>
            </w:r>
            <w:r w:rsidR="002D16F4">
              <w:rPr>
                <w:sz w:val="18"/>
                <w:szCs w:val="18"/>
              </w:rPr>
              <w:t>Work Pack</w:t>
            </w:r>
            <w:r>
              <w:rPr>
                <w:sz w:val="18"/>
                <w:szCs w:val="18"/>
              </w:rPr>
              <w:t xml:space="preserve"> API</w:t>
            </w:r>
          </w:p>
        </w:tc>
        <w:tc>
          <w:tcPr>
            <w:tcW w:w="6639" w:type="dxa"/>
          </w:tcPr>
          <w:p w14:paraId="02C5189A" w14:textId="355CC491" w:rsidR="00301FE7" w:rsidRDefault="003E3753" w:rsidP="0021625B">
            <w:pPr>
              <w:jc w:val="left"/>
              <w:rPr>
                <w:rFonts w:cs="Segoe UI"/>
                <w:sz w:val="18"/>
                <w:szCs w:val="18"/>
              </w:rPr>
            </w:pPr>
            <w:r>
              <w:rPr>
                <w:rFonts w:cs="Segoe UI"/>
                <w:sz w:val="18"/>
                <w:szCs w:val="18"/>
              </w:rPr>
              <w:t xml:space="preserve">When attempting to sign off a </w:t>
            </w:r>
            <w:r w:rsidR="00917511">
              <w:rPr>
                <w:rFonts w:cs="Segoe UI"/>
                <w:sz w:val="18"/>
                <w:szCs w:val="18"/>
              </w:rPr>
              <w:t xml:space="preserve">Work Pack </w:t>
            </w:r>
            <w:r>
              <w:rPr>
                <w:rFonts w:cs="Segoe UI"/>
                <w:sz w:val="18"/>
                <w:szCs w:val="18"/>
              </w:rPr>
              <w:t>with an outstanding M</w:t>
            </w:r>
            <w:r w:rsidR="002D16F4">
              <w:rPr>
                <w:rFonts w:cs="Segoe UI"/>
                <w:sz w:val="18"/>
                <w:szCs w:val="18"/>
              </w:rPr>
              <w:t>OC or Job Card</w:t>
            </w:r>
            <w:r w:rsidR="00EB5633">
              <w:rPr>
                <w:rFonts w:cs="Segoe UI"/>
                <w:sz w:val="18"/>
                <w:szCs w:val="18"/>
              </w:rPr>
              <w:t>,</w:t>
            </w:r>
            <w:r w:rsidR="002D16F4">
              <w:rPr>
                <w:rFonts w:cs="Segoe UI"/>
                <w:sz w:val="18"/>
                <w:szCs w:val="18"/>
              </w:rPr>
              <w:t xml:space="preserve"> the </w:t>
            </w:r>
            <w:r w:rsidR="00EB5633">
              <w:rPr>
                <w:rFonts w:cs="Segoe UI"/>
                <w:sz w:val="18"/>
                <w:szCs w:val="18"/>
              </w:rPr>
              <w:t>v</w:t>
            </w:r>
            <w:r w:rsidR="002D16F4">
              <w:rPr>
                <w:rFonts w:cs="Segoe UI"/>
                <w:sz w:val="18"/>
                <w:szCs w:val="18"/>
              </w:rPr>
              <w:t xml:space="preserve">alidation </w:t>
            </w:r>
            <w:r w:rsidR="00EB5633">
              <w:rPr>
                <w:rFonts w:cs="Segoe UI"/>
                <w:sz w:val="18"/>
                <w:szCs w:val="18"/>
              </w:rPr>
              <w:t>m</w:t>
            </w:r>
            <w:r w:rsidR="002D16F4">
              <w:rPr>
                <w:rFonts w:cs="Segoe UI"/>
                <w:sz w:val="18"/>
                <w:szCs w:val="18"/>
              </w:rPr>
              <w:t>essage would be sent twice in the 422 Response.</w:t>
            </w:r>
          </w:p>
          <w:p w14:paraId="71D22A7D" w14:textId="2D7BFD7D" w:rsidR="002D16F4" w:rsidRPr="0084797D" w:rsidRDefault="002D16F4" w:rsidP="0021625B">
            <w:pPr>
              <w:jc w:val="left"/>
              <w:rPr>
                <w:rFonts w:cs="Segoe UI"/>
                <w:sz w:val="18"/>
                <w:szCs w:val="18"/>
              </w:rPr>
            </w:pPr>
            <w:r>
              <w:rPr>
                <w:rFonts w:cs="Segoe UI"/>
                <w:sz w:val="18"/>
                <w:szCs w:val="18"/>
              </w:rPr>
              <w:t>This has now been fixed and only one message is sent</w:t>
            </w:r>
          </w:p>
        </w:tc>
      </w:tr>
      <w:tr w:rsidR="00301FE7" w:rsidRPr="0084797D" w14:paraId="5173319F" w14:textId="77777777" w:rsidTr="003A01D5">
        <w:tc>
          <w:tcPr>
            <w:tcW w:w="1064" w:type="dxa"/>
          </w:tcPr>
          <w:p w14:paraId="08AE9EFF" w14:textId="44DFA14C" w:rsidR="00301FE7" w:rsidRPr="0084797D" w:rsidRDefault="002D16F4" w:rsidP="0021625B">
            <w:pPr>
              <w:jc w:val="left"/>
              <w:rPr>
                <w:rFonts w:cs="Segoe UI"/>
                <w:sz w:val="18"/>
                <w:szCs w:val="18"/>
              </w:rPr>
            </w:pPr>
            <w:r>
              <w:rPr>
                <w:rFonts w:cs="Segoe UI"/>
                <w:sz w:val="18"/>
                <w:szCs w:val="18"/>
              </w:rPr>
              <w:t>60952</w:t>
            </w:r>
          </w:p>
        </w:tc>
        <w:tc>
          <w:tcPr>
            <w:tcW w:w="2551" w:type="dxa"/>
          </w:tcPr>
          <w:p w14:paraId="2E1645D9" w14:textId="3B981782" w:rsidR="00301FE7" w:rsidRPr="0084797D" w:rsidRDefault="002D16F4" w:rsidP="0021625B">
            <w:pPr>
              <w:jc w:val="left"/>
              <w:rPr>
                <w:rFonts w:cs="Segoe UI"/>
                <w:sz w:val="18"/>
                <w:szCs w:val="18"/>
              </w:rPr>
            </w:pPr>
            <w:r>
              <w:rPr>
                <w:rFonts w:cs="Segoe UI"/>
                <w:sz w:val="18"/>
                <w:szCs w:val="18"/>
              </w:rPr>
              <w:t>Completion Grid PDF Table Names</w:t>
            </w:r>
          </w:p>
        </w:tc>
        <w:tc>
          <w:tcPr>
            <w:tcW w:w="6639" w:type="dxa"/>
          </w:tcPr>
          <w:p w14:paraId="27826BED" w14:textId="5B9ABC48" w:rsidR="003D7E99" w:rsidRPr="0084797D" w:rsidRDefault="002D16F4" w:rsidP="0021625B">
            <w:pPr>
              <w:jc w:val="left"/>
              <w:rPr>
                <w:rFonts w:cs="Segoe UI"/>
                <w:sz w:val="18"/>
                <w:szCs w:val="18"/>
              </w:rPr>
            </w:pPr>
            <w:r>
              <w:rPr>
                <w:rFonts w:cs="Segoe UI"/>
                <w:sz w:val="18"/>
                <w:szCs w:val="18"/>
              </w:rPr>
              <w:t>On the PDF Report from the Completions Grid the Grids for ITR, PLIs and MOCs all used</w:t>
            </w:r>
            <w:r w:rsidR="009438EB">
              <w:rPr>
                <w:rFonts w:cs="Segoe UI"/>
                <w:sz w:val="18"/>
                <w:szCs w:val="18"/>
              </w:rPr>
              <w:t xml:space="preserve"> the same header text (Name).</w:t>
            </w:r>
            <w:r>
              <w:rPr>
                <w:rFonts w:cs="Segoe UI"/>
                <w:sz w:val="18"/>
                <w:szCs w:val="18"/>
              </w:rPr>
              <w:t xml:space="preserve"> </w:t>
            </w:r>
            <w:r w:rsidR="009438EB">
              <w:rPr>
                <w:rFonts w:cs="Segoe UI"/>
                <w:sz w:val="18"/>
                <w:szCs w:val="18"/>
              </w:rPr>
              <w:t>T</w:t>
            </w:r>
            <w:r>
              <w:rPr>
                <w:rFonts w:cs="Segoe UI"/>
                <w:sz w:val="18"/>
                <w:szCs w:val="18"/>
              </w:rPr>
              <w:t xml:space="preserve">his has </w:t>
            </w:r>
            <w:r w:rsidR="009438EB">
              <w:rPr>
                <w:rFonts w:cs="Segoe UI"/>
                <w:sz w:val="18"/>
                <w:szCs w:val="18"/>
              </w:rPr>
              <w:t>been changed to</w:t>
            </w:r>
            <w:r>
              <w:rPr>
                <w:rFonts w:cs="Segoe UI"/>
                <w:sz w:val="18"/>
                <w:szCs w:val="18"/>
              </w:rPr>
              <w:t xml:space="preserve"> say “ITR”, “PLI” and “MOC” </w:t>
            </w:r>
            <w:r w:rsidR="009438EB">
              <w:rPr>
                <w:rFonts w:cs="Segoe UI"/>
                <w:sz w:val="18"/>
                <w:szCs w:val="18"/>
              </w:rPr>
              <w:t>to avoid confusion.</w:t>
            </w:r>
          </w:p>
        </w:tc>
      </w:tr>
      <w:tr w:rsidR="00301FE7" w:rsidRPr="0084797D" w14:paraId="2A0E95FE" w14:textId="77777777" w:rsidTr="003A01D5">
        <w:trPr>
          <w:cnfStyle w:val="000000100000" w:firstRow="0" w:lastRow="0" w:firstColumn="0" w:lastColumn="0" w:oddVBand="0" w:evenVBand="0" w:oddHBand="1" w:evenHBand="0" w:firstRowFirstColumn="0" w:firstRowLastColumn="0" w:lastRowFirstColumn="0" w:lastRowLastColumn="0"/>
        </w:trPr>
        <w:tc>
          <w:tcPr>
            <w:tcW w:w="1064" w:type="dxa"/>
          </w:tcPr>
          <w:p w14:paraId="4B438863" w14:textId="7163CD2C" w:rsidR="00301FE7" w:rsidRPr="0084797D" w:rsidRDefault="002D16F4" w:rsidP="0021625B">
            <w:pPr>
              <w:jc w:val="left"/>
              <w:rPr>
                <w:rFonts w:cs="Segoe UI"/>
                <w:sz w:val="18"/>
                <w:szCs w:val="18"/>
              </w:rPr>
            </w:pPr>
            <w:r>
              <w:rPr>
                <w:rFonts w:cs="Segoe UI"/>
                <w:sz w:val="18"/>
                <w:szCs w:val="18"/>
              </w:rPr>
              <w:t>64571</w:t>
            </w:r>
          </w:p>
        </w:tc>
        <w:tc>
          <w:tcPr>
            <w:tcW w:w="2551" w:type="dxa"/>
          </w:tcPr>
          <w:p w14:paraId="78D41FD1" w14:textId="40E3FEBF" w:rsidR="00301FE7" w:rsidRPr="0084797D" w:rsidRDefault="002D16F4" w:rsidP="0021625B">
            <w:pPr>
              <w:jc w:val="left"/>
              <w:rPr>
                <w:rFonts w:cs="Segoe UI"/>
                <w:sz w:val="18"/>
                <w:szCs w:val="18"/>
              </w:rPr>
            </w:pPr>
            <w:r>
              <w:rPr>
                <w:rFonts w:cs="Segoe UI"/>
                <w:sz w:val="18"/>
                <w:szCs w:val="18"/>
              </w:rPr>
              <w:t>Tag ITR Export doesn’t correctly filter from the Tag Search Screen.</w:t>
            </w:r>
          </w:p>
        </w:tc>
        <w:tc>
          <w:tcPr>
            <w:tcW w:w="6639" w:type="dxa"/>
          </w:tcPr>
          <w:p w14:paraId="741A5754" w14:textId="77777777" w:rsidR="004256D4" w:rsidRDefault="002D16F4" w:rsidP="0021625B">
            <w:pPr>
              <w:jc w:val="left"/>
              <w:rPr>
                <w:rFonts w:cs="Segoe UI"/>
                <w:sz w:val="18"/>
                <w:szCs w:val="18"/>
              </w:rPr>
            </w:pPr>
            <w:r>
              <w:rPr>
                <w:rFonts w:cs="Segoe UI"/>
                <w:sz w:val="18"/>
                <w:szCs w:val="18"/>
              </w:rPr>
              <w:t>When Exporting Tag ITRs from the Tag Search screen, some filters such as the Drawing filter were not correctly applied and so would be missed, causing the Tag ITRs Export to have all records instead of just those relating to the selected Tags.</w:t>
            </w:r>
          </w:p>
          <w:p w14:paraId="7CD59DAB" w14:textId="7B73791C" w:rsidR="002D16F4" w:rsidRPr="0084797D" w:rsidRDefault="002D16F4" w:rsidP="0021625B">
            <w:pPr>
              <w:jc w:val="left"/>
              <w:rPr>
                <w:rFonts w:cs="Segoe UI"/>
                <w:sz w:val="18"/>
                <w:szCs w:val="18"/>
              </w:rPr>
            </w:pPr>
            <w:r>
              <w:rPr>
                <w:rFonts w:cs="Segoe UI"/>
                <w:sz w:val="18"/>
                <w:szCs w:val="18"/>
              </w:rPr>
              <w:t>This has now been fixed and the Tag ITRs correctly Export.</w:t>
            </w:r>
          </w:p>
        </w:tc>
      </w:tr>
      <w:tr w:rsidR="00E1741E" w:rsidRPr="0084797D" w14:paraId="6F0D3613" w14:textId="77777777" w:rsidTr="003A01D5">
        <w:tc>
          <w:tcPr>
            <w:tcW w:w="1064" w:type="dxa"/>
          </w:tcPr>
          <w:p w14:paraId="4A45F439" w14:textId="1101C8BF" w:rsidR="00E1741E" w:rsidRPr="0084797D" w:rsidRDefault="002D16F4" w:rsidP="0021625B">
            <w:pPr>
              <w:jc w:val="left"/>
              <w:rPr>
                <w:rFonts w:cs="Segoe UI"/>
                <w:sz w:val="18"/>
                <w:szCs w:val="18"/>
              </w:rPr>
            </w:pPr>
            <w:r>
              <w:rPr>
                <w:rFonts w:cs="Segoe UI"/>
                <w:sz w:val="18"/>
                <w:szCs w:val="18"/>
              </w:rPr>
              <w:t>63022</w:t>
            </w:r>
          </w:p>
        </w:tc>
        <w:tc>
          <w:tcPr>
            <w:tcW w:w="2551" w:type="dxa"/>
          </w:tcPr>
          <w:p w14:paraId="78B7064C" w14:textId="3F1B5731" w:rsidR="00E1741E" w:rsidRPr="0084797D" w:rsidRDefault="002D16F4" w:rsidP="0021625B">
            <w:pPr>
              <w:jc w:val="left"/>
              <w:rPr>
                <w:rFonts w:cs="Segoe UI"/>
                <w:sz w:val="18"/>
                <w:szCs w:val="18"/>
              </w:rPr>
            </w:pPr>
            <w:r>
              <w:rPr>
                <w:rFonts w:cs="Segoe UI"/>
                <w:sz w:val="18"/>
                <w:szCs w:val="18"/>
              </w:rPr>
              <w:t>API – The Latest Flexible Sign Offs are returned via the API instead of the sign offs from the Digital Document</w:t>
            </w:r>
          </w:p>
        </w:tc>
        <w:tc>
          <w:tcPr>
            <w:tcW w:w="6639" w:type="dxa"/>
          </w:tcPr>
          <w:p w14:paraId="4E56B0F2" w14:textId="1AA6948D" w:rsidR="004256D4" w:rsidRDefault="002D16F4" w:rsidP="0021625B">
            <w:pPr>
              <w:jc w:val="left"/>
              <w:rPr>
                <w:rFonts w:cs="Segoe UI"/>
                <w:sz w:val="18"/>
                <w:szCs w:val="18"/>
              </w:rPr>
            </w:pPr>
            <w:r>
              <w:rPr>
                <w:rFonts w:cs="Segoe UI"/>
                <w:sz w:val="18"/>
                <w:szCs w:val="18"/>
              </w:rPr>
              <w:t xml:space="preserve">When a GET request is sent for an item with Flexible Sign Off </w:t>
            </w:r>
            <w:r w:rsidR="00DA1FD0">
              <w:rPr>
                <w:rFonts w:cs="Segoe UI"/>
                <w:sz w:val="18"/>
                <w:szCs w:val="18"/>
              </w:rPr>
              <w:t>(</w:t>
            </w:r>
            <w:r>
              <w:rPr>
                <w:rFonts w:cs="Segoe UI"/>
                <w:sz w:val="18"/>
                <w:szCs w:val="18"/>
              </w:rPr>
              <w:t>i.e. Tag ITRs</w:t>
            </w:r>
            <w:r w:rsidR="00DA1FD0">
              <w:rPr>
                <w:rFonts w:cs="Segoe UI"/>
                <w:sz w:val="18"/>
                <w:szCs w:val="18"/>
              </w:rPr>
              <w:t>)</w:t>
            </w:r>
            <w:r>
              <w:rPr>
                <w:rFonts w:cs="Segoe UI"/>
                <w:sz w:val="18"/>
                <w:szCs w:val="18"/>
              </w:rPr>
              <w:t xml:space="preserve"> via the API, the request would show the sign offs from the latest </w:t>
            </w:r>
            <w:proofErr w:type="spellStart"/>
            <w:r>
              <w:rPr>
                <w:rFonts w:cs="Segoe UI"/>
                <w:sz w:val="18"/>
                <w:szCs w:val="18"/>
              </w:rPr>
              <w:t>revison</w:t>
            </w:r>
            <w:proofErr w:type="spellEnd"/>
            <w:r>
              <w:rPr>
                <w:rFonts w:cs="Segoe UI"/>
                <w:sz w:val="18"/>
                <w:szCs w:val="18"/>
              </w:rPr>
              <w:t xml:space="preserve"> of the Digital Document associated with the item, instead of the</w:t>
            </w:r>
            <w:r w:rsidR="00DA1FD0">
              <w:rPr>
                <w:rFonts w:cs="Segoe UI"/>
                <w:sz w:val="18"/>
                <w:szCs w:val="18"/>
              </w:rPr>
              <w:t xml:space="preserve"> historical</w:t>
            </w:r>
            <w:r>
              <w:rPr>
                <w:rFonts w:cs="Segoe UI"/>
                <w:sz w:val="18"/>
                <w:szCs w:val="18"/>
              </w:rPr>
              <w:t xml:space="preserve"> Revision in use by that specific</w:t>
            </w:r>
            <w:r w:rsidR="00DA1FD0">
              <w:rPr>
                <w:rFonts w:cs="Segoe UI"/>
                <w:sz w:val="18"/>
                <w:szCs w:val="18"/>
              </w:rPr>
              <w:t xml:space="preserve"> item.</w:t>
            </w:r>
          </w:p>
          <w:p w14:paraId="05B9FCD1" w14:textId="77777777" w:rsidR="002D16F4" w:rsidRDefault="002D16F4" w:rsidP="0021625B">
            <w:pPr>
              <w:jc w:val="left"/>
              <w:rPr>
                <w:rFonts w:cs="Segoe UI"/>
                <w:sz w:val="18"/>
                <w:szCs w:val="18"/>
              </w:rPr>
            </w:pPr>
            <w:r>
              <w:rPr>
                <w:rFonts w:cs="Segoe UI"/>
                <w:sz w:val="18"/>
                <w:szCs w:val="18"/>
              </w:rPr>
              <w:t>This meant it could be impossible to sign off items which used an old set of sign offs.</w:t>
            </w:r>
          </w:p>
          <w:p w14:paraId="2079786A" w14:textId="66774ADE" w:rsidR="002D16F4" w:rsidRPr="0084797D" w:rsidRDefault="002D16F4" w:rsidP="0021625B">
            <w:pPr>
              <w:jc w:val="left"/>
              <w:rPr>
                <w:rFonts w:cs="Segoe UI"/>
                <w:sz w:val="18"/>
                <w:szCs w:val="18"/>
              </w:rPr>
            </w:pPr>
            <w:r>
              <w:rPr>
                <w:rFonts w:cs="Segoe UI"/>
                <w:sz w:val="18"/>
                <w:szCs w:val="18"/>
              </w:rPr>
              <w:t>This has now been fixed and the sign offs for the correct revision are now displayed.</w:t>
            </w:r>
          </w:p>
        </w:tc>
      </w:tr>
      <w:tr w:rsidR="00511A2C" w:rsidRPr="0084797D" w14:paraId="02491BF5" w14:textId="77777777" w:rsidTr="003A01D5">
        <w:trPr>
          <w:cnfStyle w:val="000000100000" w:firstRow="0" w:lastRow="0" w:firstColumn="0" w:lastColumn="0" w:oddVBand="0" w:evenVBand="0" w:oddHBand="1" w:evenHBand="0" w:firstRowFirstColumn="0" w:firstRowLastColumn="0" w:lastRowFirstColumn="0" w:lastRowLastColumn="0"/>
        </w:trPr>
        <w:tc>
          <w:tcPr>
            <w:tcW w:w="1064" w:type="dxa"/>
          </w:tcPr>
          <w:p w14:paraId="236CC1FE" w14:textId="32D2BA45" w:rsidR="00511A2C" w:rsidRPr="0084797D" w:rsidRDefault="00DA1FD0" w:rsidP="0021625B">
            <w:pPr>
              <w:jc w:val="left"/>
              <w:rPr>
                <w:rFonts w:cs="Segoe UI"/>
                <w:sz w:val="18"/>
                <w:szCs w:val="18"/>
              </w:rPr>
            </w:pPr>
            <w:r>
              <w:rPr>
                <w:rFonts w:cs="Segoe UI"/>
                <w:sz w:val="18"/>
                <w:szCs w:val="18"/>
              </w:rPr>
              <w:t>64257</w:t>
            </w:r>
          </w:p>
        </w:tc>
        <w:tc>
          <w:tcPr>
            <w:tcW w:w="2551" w:type="dxa"/>
          </w:tcPr>
          <w:p w14:paraId="1E5B016C" w14:textId="3B6CCE98" w:rsidR="00511A2C" w:rsidRPr="0084797D" w:rsidRDefault="00DA1FD0" w:rsidP="0021625B">
            <w:pPr>
              <w:jc w:val="left"/>
              <w:rPr>
                <w:rFonts w:cs="Segoe UI"/>
                <w:sz w:val="18"/>
                <w:szCs w:val="18"/>
              </w:rPr>
            </w:pPr>
            <w:r>
              <w:rPr>
                <w:rFonts w:cs="Segoe UI"/>
                <w:sz w:val="18"/>
                <w:szCs w:val="18"/>
              </w:rPr>
              <w:t>Validation incorrectly prevents Task Tables from being updated</w:t>
            </w:r>
          </w:p>
        </w:tc>
        <w:tc>
          <w:tcPr>
            <w:tcW w:w="6639" w:type="dxa"/>
          </w:tcPr>
          <w:p w14:paraId="0CDFD990" w14:textId="11A8C584" w:rsidR="004256D4" w:rsidRDefault="00DA1FD0" w:rsidP="0021625B">
            <w:pPr>
              <w:jc w:val="left"/>
              <w:rPr>
                <w:rFonts w:cs="Segoe UI"/>
                <w:sz w:val="18"/>
                <w:szCs w:val="18"/>
              </w:rPr>
            </w:pPr>
            <w:r>
              <w:rPr>
                <w:rFonts w:cs="Segoe UI"/>
                <w:sz w:val="18"/>
                <w:szCs w:val="18"/>
              </w:rPr>
              <w:t xml:space="preserve">When updating a Task Table and removing Cells from an existing row, the Validation designed to make sure that all Rows had an equal </w:t>
            </w:r>
            <w:proofErr w:type="spellStart"/>
            <w:r>
              <w:rPr>
                <w:rFonts w:cs="Segoe UI"/>
                <w:sz w:val="18"/>
                <w:szCs w:val="18"/>
              </w:rPr>
              <w:t>Cellspan</w:t>
            </w:r>
            <w:proofErr w:type="spellEnd"/>
            <w:r>
              <w:rPr>
                <w:rFonts w:cs="Segoe UI"/>
                <w:sz w:val="18"/>
                <w:szCs w:val="18"/>
              </w:rPr>
              <w:t xml:space="preserve"> would prevent the table being saved as it was incorrectly still counting the </w:t>
            </w:r>
            <w:proofErr w:type="spellStart"/>
            <w:r>
              <w:rPr>
                <w:rFonts w:cs="Segoe UI"/>
                <w:sz w:val="18"/>
                <w:szCs w:val="18"/>
              </w:rPr>
              <w:t>cellspans</w:t>
            </w:r>
            <w:proofErr w:type="spellEnd"/>
            <w:r>
              <w:rPr>
                <w:rFonts w:cs="Segoe UI"/>
                <w:sz w:val="18"/>
                <w:szCs w:val="18"/>
              </w:rPr>
              <w:t xml:space="preserve"> of the removed cell.</w:t>
            </w:r>
          </w:p>
          <w:p w14:paraId="24523F0A" w14:textId="33014FD0" w:rsidR="00DA1FD0" w:rsidRPr="0084797D" w:rsidRDefault="00DA1FD0" w:rsidP="0021625B">
            <w:pPr>
              <w:jc w:val="left"/>
              <w:rPr>
                <w:rFonts w:cs="Segoe UI"/>
                <w:sz w:val="18"/>
                <w:szCs w:val="18"/>
              </w:rPr>
            </w:pPr>
            <w:r>
              <w:rPr>
                <w:rFonts w:cs="Segoe UI"/>
                <w:sz w:val="18"/>
                <w:szCs w:val="18"/>
              </w:rPr>
              <w:t>This has now been fixed and cells can now be removed from existing tables.</w:t>
            </w:r>
          </w:p>
        </w:tc>
      </w:tr>
      <w:tr w:rsidR="000774F5" w:rsidRPr="0084797D" w14:paraId="2573E57E" w14:textId="77777777" w:rsidTr="003A01D5">
        <w:tc>
          <w:tcPr>
            <w:tcW w:w="1064" w:type="dxa"/>
          </w:tcPr>
          <w:p w14:paraId="47ECB77B" w14:textId="28F36180" w:rsidR="000774F5" w:rsidRPr="0084797D" w:rsidRDefault="00DA1FD0" w:rsidP="0021625B">
            <w:pPr>
              <w:jc w:val="left"/>
              <w:rPr>
                <w:rFonts w:cs="Segoe UI"/>
                <w:sz w:val="18"/>
                <w:szCs w:val="18"/>
              </w:rPr>
            </w:pPr>
            <w:r>
              <w:rPr>
                <w:rFonts w:cs="Segoe UI"/>
                <w:sz w:val="18"/>
                <w:szCs w:val="18"/>
              </w:rPr>
              <w:t>64661</w:t>
            </w:r>
          </w:p>
        </w:tc>
        <w:tc>
          <w:tcPr>
            <w:tcW w:w="2551" w:type="dxa"/>
          </w:tcPr>
          <w:p w14:paraId="5F47C1DF" w14:textId="7B7A0680" w:rsidR="000774F5" w:rsidRDefault="00DA1FD0" w:rsidP="0021625B">
            <w:pPr>
              <w:jc w:val="left"/>
              <w:rPr>
                <w:rFonts w:cs="Segoe UI"/>
                <w:sz w:val="18"/>
                <w:szCs w:val="18"/>
              </w:rPr>
            </w:pPr>
            <w:r>
              <w:rPr>
                <w:rFonts w:cs="Segoe UI"/>
                <w:sz w:val="18"/>
                <w:szCs w:val="18"/>
              </w:rPr>
              <w:t>Importing a Tag PWL with Sign Offs would always be classed as changed even when no changes were made</w:t>
            </w:r>
          </w:p>
        </w:tc>
        <w:tc>
          <w:tcPr>
            <w:tcW w:w="6639" w:type="dxa"/>
          </w:tcPr>
          <w:p w14:paraId="490D77A9" w14:textId="75CCC01E" w:rsidR="004256D4" w:rsidRDefault="00DA1FD0" w:rsidP="0021625B">
            <w:pPr>
              <w:jc w:val="left"/>
              <w:rPr>
                <w:rFonts w:cs="Segoe UI"/>
                <w:sz w:val="18"/>
                <w:szCs w:val="18"/>
              </w:rPr>
            </w:pPr>
            <w:r>
              <w:rPr>
                <w:rFonts w:cs="Segoe UI"/>
                <w:sz w:val="18"/>
                <w:szCs w:val="18"/>
              </w:rPr>
              <w:t>When importing a Tag PWL with a Sign Off that had previously been completed the system would incorrectly class the Sign Off as changed in the Import Result file</w:t>
            </w:r>
            <w:r w:rsidR="00CE6B7E">
              <w:rPr>
                <w:rFonts w:cs="Segoe UI"/>
                <w:sz w:val="18"/>
                <w:szCs w:val="18"/>
              </w:rPr>
              <w:t>, even if this was not the case.</w:t>
            </w:r>
          </w:p>
          <w:p w14:paraId="5EE58032" w14:textId="44667173" w:rsidR="00DA1FD0" w:rsidRPr="0084797D" w:rsidRDefault="00DA1FD0" w:rsidP="0021625B">
            <w:pPr>
              <w:jc w:val="left"/>
              <w:rPr>
                <w:rFonts w:cs="Segoe UI"/>
                <w:sz w:val="18"/>
                <w:szCs w:val="18"/>
              </w:rPr>
            </w:pPr>
            <w:r>
              <w:rPr>
                <w:rFonts w:cs="Segoe UI"/>
                <w:sz w:val="18"/>
                <w:szCs w:val="18"/>
              </w:rPr>
              <w:t>This has now been fixed and the system correctly shows only changes to the Sign Off details when a change has actually been made.</w:t>
            </w:r>
          </w:p>
        </w:tc>
      </w:tr>
    </w:tbl>
    <w:p w14:paraId="7AC296FE" w14:textId="77777777" w:rsidR="00E92267" w:rsidRDefault="00E92267" w:rsidP="00E92267">
      <w:pPr>
        <w:pStyle w:val="Heading1"/>
        <w:numPr>
          <w:ilvl w:val="0"/>
          <w:numId w:val="0"/>
        </w:numPr>
        <w:ind w:left="567"/>
      </w:pPr>
      <w:bookmarkStart w:id="4" w:name="_Toc517953900"/>
    </w:p>
    <w:p w14:paraId="02D96014" w14:textId="151C53AB" w:rsidR="00E85C73" w:rsidRDefault="00A83E28" w:rsidP="00F420B2">
      <w:pPr>
        <w:pStyle w:val="Heading1"/>
      </w:pPr>
      <w:r>
        <w:t>Known</w:t>
      </w:r>
      <w:r w:rsidR="00144332">
        <w:t xml:space="preserve"> Issues</w:t>
      </w:r>
      <w:bookmarkEnd w:id="4"/>
    </w:p>
    <w:p w14:paraId="1D8C31EB" w14:textId="3061057D" w:rsidR="006D6510" w:rsidRDefault="0064515E" w:rsidP="009E2DC6">
      <w:pPr>
        <w:rPr>
          <w:rFonts w:eastAsia="Times New Roman" w:cs="Segoe UI"/>
          <w:b/>
          <w:snapToGrid w:val="0"/>
          <w:sz w:val="24"/>
          <w:szCs w:val="32"/>
        </w:rPr>
      </w:pPr>
      <w:r w:rsidRPr="0084797D">
        <w:rPr>
          <w:rFonts w:cs="Segoe UI"/>
          <w:sz w:val="18"/>
          <w:szCs w:val="18"/>
        </w:rPr>
        <w:t xml:space="preserve">A full list of “Known Issues” can be found at </w:t>
      </w:r>
      <w:hyperlink r:id="rId11" w:history="1">
        <w:r w:rsidR="00E92267" w:rsidRPr="009F672F">
          <w:rPr>
            <w:rStyle w:val="Hyperlink"/>
            <w:rFonts w:cs="Segoe UI"/>
            <w:sz w:val="18"/>
            <w:szCs w:val="18"/>
          </w:rPr>
          <w:t>https://gotechnology.github.io/</w:t>
        </w:r>
      </w:hyperlink>
      <w:r w:rsidR="00300D2F" w:rsidRPr="0084797D">
        <w:rPr>
          <w:rFonts w:cs="Segoe UI"/>
          <w:sz w:val="18"/>
          <w:szCs w:val="18"/>
        </w:rPr>
        <w:t xml:space="preserve"> </w:t>
      </w:r>
      <w:bookmarkStart w:id="5" w:name="_Toc517953901"/>
      <w:r w:rsidR="006D6510">
        <w:br w:type="page"/>
      </w:r>
    </w:p>
    <w:p w14:paraId="54F22981" w14:textId="2F6CFD0E" w:rsidR="00E36545" w:rsidRDefault="00E36545" w:rsidP="00E36545">
      <w:pPr>
        <w:pStyle w:val="Heading1"/>
        <w:snapToGrid w:val="0"/>
      </w:pPr>
      <w:r>
        <w:lastRenderedPageBreak/>
        <w:t>Features</w:t>
      </w:r>
    </w:p>
    <w:p w14:paraId="14DC79CE" w14:textId="70534B85" w:rsidR="009E2DC6" w:rsidRDefault="00080A7B" w:rsidP="009E2DC6">
      <w:pPr>
        <w:pStyle w:val="Heading2"/>
      </w:pPr>
      <w:r>
        <w:t>Assurance Section</w:t>
      </w:r>
    </w:p>
    <w:p w14:paraId="46852EF1" w14:textId="547286B0" w:rsidR="003E3753" w:rsidRDefault="003E3753" w:rsidP="003E3753">
      <w:pPr>
        <w:jc w:val="center"/>
      </w:pPr>
      <w:r w:rsidRPr="003E3753">
        <w:rPr>
          <w:noProof/>
        </w:rPr>
        <w:drawing>
          <wp:inline distT="0" distB="0" distL="0" distR="0" wp14:anchorId="35D6FF8E" wp14:editId="22EC0B19">
            <wp:extent cx="3419952" cy="1114581"/>
            <wp:effectExtent l="19050" t="19050" r="952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1114581"/>
                    </a:xfrm>
                    <a:prstGeom prst="rect">
                      <a:avLst/>
                    </a:prstGeom>
                    <a:ln>
                      <a:solidFill>
                        <a:schemeClr val="accent1"/>
                      </a:solidFill>
                    </a:ln>
                  </pic:spPr>
                </pic:pic>
              </a:graphicData>
            </a:graphic>
          </wp:inline>
        </w:drawing>
      </w:r>
    </w:p>
    <w:p w14:paraId="48A5E827" w14:textId="72D58E39" w:rsidR="003E3753" w:rsidRPr="003E3753" w:rsidRDefault="003E3753" w:rsidP="003E3753">
      <w:pPr>
        <w:pStyle w:val="Figure"/>
      </w:pPr>
      <w:r>
        <w:t>Menu of hub2 showing the new Assurance Section</w:t>
      </w:r>
    </w:p>
    <w:p w14:paraId="30061E49" w14:textId="7B4CA5B0" w:rsidR="00034D84" w:rsidRDefault="00080A7B" w:rsidP="009E2DC6">
      <w:r>
        <w:t xml:space="preserve">An Assurance section has been added to hub2 that can be activated on request.   This section allows for additional Digital Documents to be added outside the normal Tag ITR </w:t>
      </w:r>
      <w:proofErr w:type="gramStart"/>
      <w:r>
        <w:t>processes</w:t>
      </w:r>
      <w:r w:rsidR="00034D84">
        <w:t>, and</w:t>
      </w:r>
      <w:proofErr w:type="gramEnd"/>
      <w:r w:rsidR="00034D84">
        <w:t xml:space="preserve"> is intended to allow for information which would normally be stored in separate spreadsheets or databases to be recorded here instead.</w:t>
      </w:r>
    </w:p>
    <w:p w14:paraId="467D55C9" w14:textId="329AD7DB" w:rsidR="00034D84" w:rsidRDefault="00034D84" w:rsidP="009E2DC6">
      <w:r>
        <w:t>Examples of information which may be useful to store in this section include:</w:t>
      </w:r>
    </w:p>
    <w:p w14:paraId="7957BFE0" w14:textId="5196FA9D" w:rsidR="00034D84" w:rsidRDefault="00034D84" w:rsidP="00034D84">
      <w:pPr>
        <w:pStyle w:val="ListParagraph"/>
        <w:numPr>
          <w:ilvl w:val="0"/>
          <w:numId w:val="15"/>
        </w:numPr>
      </w:pPr>
      <w:r>
        <w:t>Construction Readiness Check Lists</w:t>
      </w:r>
    </w:p>
    <w:p w14:paraId="28193A5E" w14:textId="133BB456" w:rsidR="00034D84" w:rsidRDefault="00034D84" w:rsidP="00034D84">
      <w:pPr>
        <w:pStyle w:val="ListParagraph"/>
        <w:numPr>
          <w:ilvl w:val="0"/>
          <w:numId w:val="15"/>
        </w:numPr>
      </w:pPr>
      <w:r>
        <w:t>Operation Readiness Trackers</w:t>
      </w:r>
    </w:p>
    <w:p w14:paraId="748208BB" w14:textId="725D68C6" w:rsidR="00034D84" w:rsidRDefault="00034D84" w:rsidP="00034D84">
      <w:pPr>
        <w:pStyle w:val="ListParagraph"/>
        <w:numPr>
          <w:ilvl w:val="0"/>
          <w:numId w:val="15"/>
        </w:numPr>
      </w:pPr>
      <w:r>
        <w:t>Asset Integrity Check Lists</w:t>
      </w:r>
    </w:p>
    <w:p w14:paraId="15415003" w14:textId="77777777" w:rsidR="00034D84" w:rsidRDefault="00034D84" w:rsidP="009E2DC6"/>
    <w:p w14:paraId="283CB1BC" w14:textId="14F8C512" w:rsidR="00080A7B" w:rsidRDefault="00080A7B" w:rsidP="009E2DC6">
      <w:r>
        <w:t>Each</w:t>
      </w:r>
      <w:r w:rsidR="00034D84">
        <w:t xml:space="preserve"> of these would be created as a new</w:t>
      </w:r>
      <w:r>
        <w:t xml:space="preserve"> Tracker Type </w:t>
      </w:r>
      <w:r w:rsidR="00034D84">
        <w:t xml:space="preserve">and </w:t>
      </w:r>
      <w:r>
        <w:t xml:space="preserve">given </w:t>
      </w:r>
      <w:proofErr w:type="spellStart"/>
      <w:proofErr w:type="gramStart"/>
      <w:r>
        <w:t>it’s</w:t>
      </w:r>
      <w:proofErr w:type="spellEnd"/>
      <w:proofErr w:type="gramEnd"/>
      <w:r>
        <w:t xml:space="preserve"> own Digital Document (like an ITR or PWL) </w:t>
      </w:r>
      <w:r w:rsidR="00034D84">
        <w:t>These</w:t>
      </w:r>
      <w:r>
        <w:t xml:space="preserve"> Digital Documents can be processed by associat</w:t>
      </w:r>
      <w:r w:rsidR="00E23728">
        <w:t>ing</w:t>
      </w:r>
      <w:r>
        <w:t xml:space="preserve"> them with </w:t>
      </w:r>
      <w:proofErr w:type="spellStart"/>
      <w:r>
        <w:t>a</w:t>
      </w:r>
      <w:proofErr w:type="spellEnd"/>
      <w:r>
        <w:t xml:space="preserve"> Assurance Tracker.</w:t>
      </w:r>
    </w:p>
    <w:p w14:paraId="00856D31" w14:textId="4D61D762" w:rsidR="00080A7B" w:rsidRDefault="00080A7B" w:rsidP="00080A7B">
      <w:pPr>
        <w:pStyle w:val="Heading3"/>
      </w:pPr>
      <w:r>
        <w:t>Data Structure</w:t>
      </w:r>
    </w:p>
    <w:p w14:paraId="3D90ACC2" w14:textId="70972459" w:rsidR="00080A7B" w:rsidRDefault="003E3753" w:rsidP="003E3753">
      <w:pPr>
        <w:jc w:val="center"/>
      </w:pPr>
      <w:r w:rsidRPr="003E3753">
        <w:rPr>
          <w:noProof/>
        </w:rPr>
        <w:drawing>
          <wp:inline distT="0" distB="0" distL="0" distR="0" wp14:anchorId="715A4B23" wp14:editId="0532F331">
            <wp:extent cx="3086531" cy="258163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531" cy="2581635"/>
                    </a:xfrm>
                    <a:prstGeom prst="rect">
                      <a:avLst/>
                    </a:prstGeom>
                    <a:ln>
                      <a:solidFill>
                        <a:schemeClr val="accent1"/>
                      </a:solidFill>
                    </a:ln>
                  </pic:spPr>
                </pic:pic>
              </a:graphicData>
            </a:graphic>
          </wp:inline>
        </w:drawing>
      </w:r>
    </w:p>
    <w:p w14:paraId="2BA40076" w14:textId="78A1E11A" w:rsidR="00080A7B" w:rsidRDefault="003E3753" w:rsidP="003E3753">
      <w:pPr>
        <w:pStyle w:val="Figure"/>
      </w:pPr>
      <w:r>
        <w:t>Data Struct</w:t>
      </w:r>
      <w:r w:rsidR="00E23728">
        <w:t>u</w:t>
      </w:r>
      <w:r>
        <w:t>re of the Assurance Section</w:t>
      </w:r>
    </w:p>
    <w:p w14:paraId="6F2C303B" w14:textId="05BE03FE" w:rsidR="00080A7B" w:rsidRDefault="00080A7B" w:rsidP="00080A7B">
      <w:pPr>
        <w:pStyle w:val="Heading3"/>
      </w:pPr>
      <w:r>
        <w:t>Report</w:t>
      </w:r>
    </w:p>
    <w:p w14:paraId="5CCD20FA" w14:textId="57DF71EA" w:rsidR="00080A7B" w:rsidRDefault="00080A7B" w:rsidP="00080A7B">
      <w:r>
        <w:t>A Detailed Report for each Assurance Tracker can be made using the Detailed Report Creation Tool, and a Summary Report grouped by Tracker Type can be made using the Summary Report Creation Tool.</w:t>
      </w:r>
    </w:p>
    <w:p w14:paraId="32220FE6" w14:textId="6100678E" w:rsidR="003E3753" w:rsidRDefault="003E3753" w:rsidP="00080A7B">
      <w:r w:rsidRPr="003E3753">
        <w:rPr>
          <w:noProof/>
        </w:rPr>
        <w:lastRenderedPageBreak/>
        <w:drawing>
          <wp:inline distT="0" distB="0" distL="0" distR="0" wp14:anchorId="4816034E" wp14:editId="1A0F88D1">
            <wp:extent cx="6120130" cy="1117600"/>
            <wp:effectExtent l="19050" t="19050" r="1397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117600"/>
                    </a:xfrm>
                    <a:prstGeom prst="rect">
                      <a:avLst/>
                    </a:prstGeom>
                    <a:ln>
                      <a:solidFill>
                        <a:schemeClr val="accent1"/>
                      </a:solidFill>
                    </a:ln>
                  </pic:spPr>
                </pic:pic>
              </a:graphicData>
            </a:graphic>
          </wp:inline>
        </w:drawing>
      </w:r>
    </w:p>
    <w:p w14:paraId="6791A42D" w14:textId="51FE2DC9" w:rsidR="003E3753" w:rsidRDefault="003E3753" w:rsidP="003E3753">
      <w:pPr>
        <w:pStyle w:val="Figure"/>
      </w:pPr>
      <w:r>
        <w:t>Screenshot of the Assurance Tracker Completions Grid</w:t>
      </w:r>
    </w:p>
    <w:p w14:paraId="1D895E08" w14:textId="2BB58FEE" w:rsidR="00080A7B" w:rsidRDefault="00080A7B" w:rsidP="00080A7B">
      <w:r>
        <w:t xml:space="preserve">There is also an Assurance Tracker Completions Grid, available from the Assurance section of the </w:t>
      </w:r>
      <w:r w:rsidR="00E23728">
        <w:t>menu</w:t>
      </w:r>
      <w:r>
        <w:t>.   This will show the Assurance Tracker Types on the first page and then clicking into each Tracker Type will show each Assurance Tracker under the Type with the Progress of the associated Digital Document shown against it.</w:t>
      </w:r>
    </w:p>
    <w:p w14:paraId="3675EDC1" w14:textId="1D3CCC7E" w:rsidR="00080A7B" w:rsidRDefault="00080A7B" w:rsidP="00080A7B">
      <w:r>
        <w:t xml:space="preserve">Unlike the standard Completions Grid there is no detailed page available when clicking on </w:t>
      </w:r>
      <w:proofErr w:type="spellStart"/>
      <w:proofErr w:type="gramStart"/>
      <w:r>
        <w:t>a</w:t>
      </w:r>
      <w:proofErr w:type="spellEnd"/>
      <w:proofErr w:type="gramEnd"/>
      <w:r>
        <w:t xml:space="preserve"> Assurance Tracker on this page.</w:t>
      </w:r>
    </w:p>
    <w:p w14:paraId="4F522DD2" w14:textId="1EB4A882" w:rsidR="009E2DC6" w:rsidRDefault="009E2DC6" w:rsidP="009E2DC6"/>
    <w:bookmarkEnd w:id="5"/>
    <w:p w14:paraId="48EF39FB" w14:textId="42F385FA" w:rsidR="00840386" w:rsidRDefault="00840386" w:rsidP="00840386">
      <w:pPr>
        <w:pStyle w:val="Heading2"/>
      </w:pPr>
      <w:r>
        <w:t xml:space="preserve">Digital Document </w:t>
      </w:r>
      <w:r w:rsidR="00080A7B">
        <w:t>– Drop Down Options</w:t>
      </w:r>
    </w:p>
    <w:p w14:paraId="13679C44" w14:textId="08E2AB62" w:rsidR="003E3753" w:rsidRDefault="003E3753" w:rsidP="003E3753"/>
    <w:p w14:paraId="7AD5776F" w14:textId="1F1405A0" w:rsidR="003E3753" w:rsidRDefault="003E3753" w:rsidP="003E3753">
      <w:r w:rsidRPr="003E3753">
        <w:rPr>
          <w:noProof/>
        </w:rPr>
        <w:drawing>
          <wp:inline distT="0" distB="0" distL="0" distR="0" wp14:anchorId="238B4D03" wp14:editId="0196B286">
            <wp:extent cx="6120130" cy="1571625"/>
            <wp:effectExtent l="19050" t="19050" r="1397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571625"/>
                    </a:xfrm>
                    <a:prstGeom prst="rect">
                      <a:avLst/>
                    </a:prstGeom>
                    <a:ln>
                      <a:solidFill>
                        <a:schemeClr val="accent1"/>
                      </a:solidFill>
                    </a:ln>
                  </pic:spPr>
                </pic:pic>
              </a:graphicData>
            </a:graphic>
          </wp:inline>
        </w:drawing>
      </w:r>
    </w:p>
    <w:p w14:paraId="5E288D0F" w14:textId="5C1057C4" w:rsidR="003E3753" w:rsidRPr="003E3753" w:rsidRDefault="003E3753" w:rsidP="003E3753">
      <w:pPr>
        <w:pStyle w:val="Figure"/>
      </w:pPr>
      <w:r>
        <w:t xml:space="preserve">Screenshot of the Digital Document Edit page for a </w:t>
      </w:r>
      <w:proofErr w:type="gramStart"/>
      <w:r>
        <w:t>Multiple Choice</w:t>
      </w:r>
      <w:proofErr w:type="gramEnd"/>
      <w:r>
        <w:t xml:space="preserve"> Task</w:t>
      </w:r>
    </w:p>
    <w:p w14:paraId="3C53D0AA" w14:textId="7276D3D7" w:rsidR="00080A7B" w:rsidRDefault="00080A7B" w:rsidP="00080A7B">
      <w:r>
        <w:t xml:space="preserve">When Creating or Editing an existing Digital Document there is a new Task Type </w:t>
      </w:r>
      <w:r w:rsidR="00E23728">
        <w:t>of</w:t>
      </w:r>
      <w:r>
        <w:t xml:space="preserve"> Multiple Choice.</w:t>
      </w:r>
    </w:p>
    <w:p w14:paraId="4B0FBDB9" w14:textId="53A9CE26" w:rsidR="003E3753" w:rsidRDefault="00080A7B" w:rsidP="00080A7B">
      <w:r>
        <w:t xml:space="preserve">When Multiple Choice is selected the user can set up a </w:t>
      </w:r>
      <w:proofErr w:type="gramStart"/>
      <w:r>
        <w:t>Drop Down</w:t>
      </w:r>
      <w:proofErr w:type="gramEnd"/>
      <w:r>
        <w:t xml:space="preserve"> List that will appear on the PDF and On screen</w:t>
      </w:r>
      <w:r w:rsidR="003E3753">
        <w:t xml:space="preserve">.  </w:t>
      </w:r>
    </w:p>
    <w:p w14:paraId="42229B45" w14:textId="58F4602C" w:rsidR="00080A7B" w:rsidRDefault="003E3753" w:rsidP="00080A7B">
      <w:r>
        <w:t xml:space="preserve">When an option that is counted as completed is selected this will consider the Task to be completed and will increase the Percentage Complete. At least one of the options must be set to be “Count as Completed” for each </w:t>
      </w:r>
      <w:proofErr w:type="gramStart"/>
      <w:r>
        <w:t>Multiple Choice</w:t>
      </w:r>
      <w:proofErr w:type="gramEnd"/>
      <w:r>
        <w:t xml:space="preserve"> Task.</w:t>
      </w:r>
    </w:p>
    <w:p w14:paraId="0EDBC88A" w14:textId="0B2FC70A" w:rsidR="003E3753" w:rsidRDefault="003E3753" w:rsidP="00080A7B">
      <w:r>
        <w:t>This new option is available on all sections with Digital Document including ITRs, PWL, Work Packs, Handovers and the new Assurance Section.</w:t>
      </w:r>
    </w:p>
    <w:p w14:paraId="4290D343" w14:textId="4B7302C6" w:rsidR="00080A7B" w:rsidRPr="00080A7B" w:rsidRDefault="00080A7B" w:rsidP="00080A7B">
      <w:pPr>
        <w:rPr>
          <w:b/>
        </w:rPr>
      </w:pPr>
      <w:r w:rsidRPr="00080A7B">
        <w:rPr>
          <w:b/>
        </w:rPr>
        <w:t xml:space="preserve">NOTE: The </w:t>
      </w:r>
      <w:proofErr w:type="gramStart"/>
      <w:r w:rsidRPr="00080A7B">
        <w:rPr>
          <w:b/>
        </w:rPr>
        <w:t>Drop Down</w:t>
      </w:r>
      <w:proofErr w:type="gramEnd"/>
      <w:r w:rsidRPr="00080A7B">
        <w:rPr>
          <w:b/>
        </w:rPr>
        <w:t xml:space="preserve"> Functionality currently doesn’t work on </w:t>
      </w:r>
      <w:r w:rsidR="00E23728">
        <w:rPr>
          <w:b/>
        </w:rPr>
        <w:t xml:space="preserve">the </w:t>
      </w:r>
      <w:r>
        <w:rPr>
          <w:b/>
        </w:rPr>
        <w:t>Digital Document screen in our</w:t>
      </w:r>
      <w:r w:rsidRPr="00080A7B">
        <w:rPr>
          <w:b/>
        </w:rPr>
        <w:t xml:space="preserve"> Mobile Application</w:t>
      </w:r>
      <w:r>
        <w:rPr>
          <w:b/>
        </w:rPr>
        <w:t>, but does work with the PDFs</w:t>
      </w:r>
      <w:r w:rsidR="00E23728">
        <w:rPr>
          <w:b/>
        </w:rPr>
        <w:t xml:space="preserve"> which can be used in the Mobile Application</w:t>
      </w:r>
      <w:r>
        <w:rPr>
          <w:b/>
        </w:rPr>
        <w:t>.</w:t>
      </w:r>
    </w:p>
    <w:p w14:paraId="260EF366" w14:textId="47DECEF3" w:rsidR="003D7E99" w:rsidRDefault="003E3753" w:rsidP="003D7E99">
      <w:pPr>
        <w:pStyle w:val="Heading2"/>
      </w:pPr>
      <w:r>
        <w:lastRenderedPageBreak/>
        <w:t>Completions Grid – Overall Tab</w:t>
      </w:r>
      <w:r w:rsidR="003D7E99">
        <w:tab/>
      </w:r>
    </w:p>
    <w:p w14:paraId="49B609DB" w14:textId="4A077208" w:rsidR="003E3753" w:rsidRPr="003E3753" w:rsidRDefault="003E3753" w:rsidP="003E3753">
      <w:pPr>
        <w:jc w:val="center"/>
      </w:pPr>
      <w:r w:rsidRPr="003E3753">
        <w:rPr>
          <w:noProof/>
        </w:rPr>
        <w:drawing>
          <wp:inline distT="0" distB="0" distL="0" distR="0" wp14:anchorId="1AAE72DA" wp14:editId="6C5BC8DD">
            <wp:extent cx="6120130" cy="5212080"/>
            <wp:effectExtent l="19050" t="19050" r="1397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212080"/>
                    </a:xfrm>
                    <a:prstGeom prst="rect">
                      <a:avLst/>
                    </a:prstGeom>
                    <a:ln>
                      <a:solidFill>
                        <a:schemeClr val="accent1"/>
                      </a:solidFill>
                    </a:ln>
                  </pic:spPr>
                </pic:pic>
              </a:graphicData>
            </a:graphic>
          </wp:inline>
        </w:drawing>
      </w:r>
    </w:p>
    <w:p w14:paraId="17D940C0" w14:textId="77E3452D" w:rsidR="003E3753" w:rsidRDefault="003E3753" w:rsidP="0080675D">
      <w:r>
        <w:t>An Overall Tab has been added to the Completion Grid Detail Page, as the new primary page when selecting a System, Sub System or Level.</w:t>
      </w:r>
      <w:r w:rsidR="00BF046E">
        <w:t xml:space="preserve"> </w:t>
      </w:r>
      <w:bookmarkStart w:id="6" w:name="_GoBack"/>
      <w:bookmarkEnd w:id="6"/>
      <w:r>
        <w:t xml:space="preserve">This overall tab shows the Progress on ITRs by Class, Punch List by Category and MOCs By Type with donut style charts.  </w:t>
      </w:r>
    </w:p>
    <w:p w14:paraId="38F40701" w14:textId="51731AFA" w:rsidR="00E36545" w:rsidRPr="0080675D" w:rsidRDefault="003E3753" w:rsidP="0080675D">
      <w:r>
        <w:t xml:space="preserve">The Chart can be exported to PDF by using the Download Button in the top right corner. </w:t>
      </w:r>
      <w:r w:rsidR="003D7E99">
        <w:t xml:space="preserve">  </w:t>
      </w:r>
    </w:p>
    <w:sectPr w:rsidR="00E36545" w:rsidRPr="0080675D" w:rsidSect="00B4205E">
      <w:headerReference w:type="default" r:id="rId17"/>
      <w:footerReference w:type="default" r:id="rId18"/>
      <w:headerReference w:type="first" r:id="rId19"/>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FC05" w14:textId="77777777" w:rsidR="0008464E" w:rsidRDefault="0008464E" w:rsidP="00DE3F25">
      <w:pPr>
        <w:spacing w:after="0" w:line="240" w:lineRule="auto"/>
      </w:pPr>
      <w:r>
        <w:separator/>
      </w:r>
    </w:p>
  </w:endnote>
  <w:endnote w:type="continuationSeparator" w:id="0">
    <w:p w14:paraId="4039BA40" w14:textId="77777777" w:rsidR="0008464E" w:rsidRDefault="0008464E" w:rsidP="00DE3F25">
      <w:pPr>
        <w:spacing w:after="0" w:line="240" w:lineRule="auto"/>
      </w:pPr>
      <w:r>
        <w:continuationSeparator/>
      </w:r>
    </w:p>
  </w:endnote>
  <w:endnote w:type="continuationNotice" w:id="1">
    <w:p w14:paraId="1A88252D" w14:textId="77777777" w:rsidR="0008464E" w:rsidRDefault="000846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7DCEB" w14:textId="278785B8"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4DE9AF5C" wp14:editId="18F94C11">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006E7B81">
      <w:rPr>
        <w:rFonts w:ascii="Arial" w:eastAsia="Times New Roman" w:hAnsi="Arial" w:cs="Tahoma"/>
        <w:noProof/>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5B725" w14:textId="77777777" w:rsidR="0008464E" w:rsidRDefault="0008464E" w:rsidP="00DE3F25">
      <w:pPr>
        <w:spacing w:after="0" w:line="240" w:lineRule="auto"/>
      </w:pPr>
      <w:bookmarkStart w:id="0" w:name="_Hlk520705609"/>
      <w:bookmarkEnd w:id="0"/>
      <w:r>
        <w:separator/>
      </w:r>
    </w:p>
  </w:footnote>
  <w:footnote w:type="continuationSeparator" w:id="0">
    <w:p w14:paraId="25E62FDC" w14:textId="77777777" w:rsidR="0008464E" w:rsidRDefault="0008464E" w:rsidP="00DE3F25">
      <w:pPr>
        <w:spacing w:after="0" w:line="240" w:lineRule="auto"/>
      </w:pPr>
      <w:r>
        <w:continuationSeparator/>
      </w:r>
    </w:p>
  </w:footnote>
  <w:footnote w:type="continuationNotice" w:id="1">
    <w:p w14:paraId="0B4B7E21" w14:textId="77777777" w:rsidR="0008464E" w:rsidRDefault="000846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44C52"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CA61FA9" wp14:editId="0C199EB1">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F5A6" w14:textId="77777777"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2EE7F461" wp14:editId="1396FCAA">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2D5136"/>
    <w:multiLevelType w:val="hybridMultilevel"/>
    <w:tmpl w:val="5BFE9A58"/>
    <w:lvl w:ilvl="0" w:tplc="CA548EE4">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3969"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8"/>
  </w:num>
  <w:num w:numId="3">
    <w:abstractNumId w:val="9"/>
  </w:num>
  <w:num w:numId="4">
    <w:abstractNumId w:val="1"/>
  </w:num>
  <w:num w:numId="5">
    <w:abstractNumId w:val="2"/>
  </w:num>
  <w:num w:numId="6">
    <w:abstractNumId w:val="7"/>
  </w:num>
  <w:num w:numId="7">
    <w:abstractNumId w:val="0"/>
  </w:num>
  <w:num w:numId="8">
    <w:abstractNumId w:val="6"/>
  </w:num>
  <w:num w:numId="9">
    <w:abstractNumId w:val="4"/>
  </w:num>
  <w:num w:numId="10">
    <w:abstractNumId w:val="5"/>
  </w:num>
  <w:num w:numId="11">
    <w:abstractNumId w:val="1"/>
    <w:lvlOverride w:ilvl="0">
      <w:startOverride w:val="1"/>
    </w:lvlOverride>
  </w:num>
  <w:num w:numId="12">
    <w:abstractNumId w:val="1"/>
    <w:lvlOverride w:ilvl="0">
      <w:startOverride w:val="1"/>
    </w:lvlOverride>
  </w:num>
  <w:num w:numId="13">
    <w:abstractNumId w:val="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sDCxtDQ1NzAxsDRV0lEKTi0uzszPAykwrAUAXkHRoSwAAAA="/>
  </w:docVars>
  <w:rsids>
    <w:rsidRoot w:val="0008464E"/>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4D8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4F5"/>
    <w:rsid w:val="00077EB5"/>
    <w:rsid w:val="00080A7B"/>
    <w:rsid w:val="00080BA3"/>
    <w:rsid w:val="0008145A"/>
    <w:rsid w:val="00081CD9"/>
    <w:rsid w:val="00081EDE"/>
    <w:rsid w:val="00081FA5"/>
    <w:rsid w:val="00082DDC"/>
    <w:rsid w:val="00083645"/>
    <w:rsid w:val="00084346"/>
    <w:rsid w:val="0008464E"/>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6EE1"/>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949"/>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6F4"/>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453E"/>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29DC"/>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1D5"/>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544"/>
    <w:rsid w:val="003D3EA7"/>
    <w:rsid w:val="003D451C"/>
    <w:rsid w:val="003D4D4B"/>
    <w:rsid w:val="003D544F"/>
    <w:rsid w:val="003D5DBE"/>
    <w:rsid w:val="003D6FF2"/>
    <w:rsid w:val="003D7E99"/>
    <w:rsid w:val="003E0A5A"/>
    <w:rsid w:val="003E13EC"/>
    <w:rsid w:val="003E1946"/>
    <w:rsid w:val="003E1DE0"/>
    <w:rsid w:val="003E32B1"/>
    <w:rsid w:val="003E34F4"/>
    <w:rsid w:val="003E3583"/>
    <w:rsid w:val="003E375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56D4"/>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8D0"/>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883"/>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1A2C"/>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021A"/>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D7DAA"/>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52E0"/>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510"/>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B81"/>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4DC1"/>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AD1"/>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75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386"/>
    <w:rsid w:val="00840DC1"/>
    <w:rsid w:val="00842A89"/>
    <w:rsid w:val="00843CD0"/>
    <w:rsid w:val="00844363"/>
    <w:rsid w:val="00844C3C"/>
    <w:rsid w:val="00845074"/>
    <w:rsid w:val="008457D8"/>
    <w:rsid w:val="00846E46"/>
    <w:rsid w:val="00846ED1"/>
    <w:rsid w:val="00847572"/>
    <w:rsid w:val="0084769D"/>
    <w:rsid w:val="0084797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511"/>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38EB"/>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7F9"/>
    <w:rsid w:val="009E09F3"/>
    <w:rsid w:val="009E0B92"/>
    <w:rsid w:val="009E18B8"/>
    <w:rsid w:val="009E1CC6"/>
    <w:rsid w:val="009E27D0"/>
    <w:rsid w:val="009E28F4"/>
    <w:rsid w:val="009E2DC6"/>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70D"/>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00E9"/>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571FA"/>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046E"/>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B7E"/>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497"/>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1FD0"/>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0FC2"/>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728"/>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46F7"/>
    <w:rsid w:val="00E35187"/>
    <w:rsid w:val="00E35A94"/>
    <w:rsid w:val="00E36545"/>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267"/>
    <w:rsid w:val="00E92373"/>
    <w:rsid w:val="00E925F7"/>
    <w:rsid w:val="00E93061"/>
    <w:rsid w:val="00E938F4"/>
    <w:rsid w:val="00E93A6A"/>
    <w:rsid w:val="00E9444F"/>
    <w:rsid w:val="00E95D58"/>
    <w:rsid w:val="00E95DF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633"/>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17E5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ind w:left="567"/>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customStyle="1" w:styleId="UnresolvedMention4">
    <w:name w:val="Unresolved Mention4"/>
    <w:basedOn w:val="DefaultParagraphFont"/>
    <w:uiPriority w:val="99"/>
    <w:semiHidden/>
    <w:unhideWhenUsed/>
    <w:rsid w:val="004B27A3"/>
    <w:rPr>
      <w:color w:val="605E5C"/>
      <w:shd w:val="clear" w:color="auto" w:fill="E1DFDD"/>
    </w:rPr>
  </w:style>
  <w:style w:type="character" w:styleId="UnresolvedMention">
    <w:name w:val="Unresolved Mention"/>
    <w:basedOn w:val="DefaultParagraphFont"/>
    <w:uiPriority w:val="99"/>
    <w:semiHidden/>
    <w:unhideWhenUsed/>
    <w:rsid w:val="00E92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00319368">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55210023">
      <w:bodyDiv w:val="1"/>
      <w:marLeft w:val="0"/>
      <w:marRight w:val="0"/>
      <w:marTop w:val="0"/>
      <w:marBottom w:val="0"/>
      <w:divBdr>
        <w:top w:val="none" w:sz="0" w:space="0" w:color="auto"/>
        <w:left w:val="none" w:sz="0" w:space="0" w:color="auto"/>
        <w:bottom w:val="none" w:sz="0" w:space="0" w:color="auto"/>
        <w:right w:val="none" w:sz="0" w:space="0" w:color="auto"/>
      </w:divBdr>
    </w:div>
    <w:div w:id="961108613">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66688210">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18794FE2-D1D9-4DED-B536-5BE6C6A8A69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fields"/>
    <ds:schemaRef ds:uri="http://www.w3.org/XML/1998/namespace"/>
    <ds:schemaRef ds:uri="http://purl.org/dc/dcmitype/"/>
  </ds:schemaRefs>
</ds:datastoreItem>
</file>

<file path=customXml/itemProps4.xml><?xml version="1.0" encoding="utf-8"?>
<ds:datastoreItem xmlns:ds="http://schemas.openxmlformats.org/officeDocument/2006/customXml" ds:itemID="{095B9E93-C9A1-4B3E-89B5-36E7E8FD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935</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5407</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2019-09-23T09:32:00Z</dcterms:created>
  <dcterms:modified xsi:type="dcterms:W3CDTF">2019-12-06T11:20:00Z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