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1" w:name="_GoBack"/>
    <w:bookmarkEnd w:id="1"/>
    <w:p w14:paraId="49EBE5BB" w14:textId="491C4D7D" w:rsidR="00A45BBC" w:rsidRDefault="00A45BBC">
      <w:pPr>
        <w:spacing w:after="0" w:line="240" w:lineRule="auto"/>
        <w:jc w:val="left"/>
        <w:rPr>
          <w:rFonts w:eastAsia="Times New Roman"/>
          <w:b/>
          <w:bCs/>
          <w:caps/>
          <w:color w:val="FFFFFF" w:themeColor="background1"/>
          <w:sz w:val="32"/>
          <w:szCs w:val="32"/>
        </w:rPr>
      </w:pPr>
      <w:r>
        <w:rPr>
          <w:noProof/>
        </w:rPr>
        <mc:AlternateContent>
          <mc:Choice Requires="wps">
            <w:drawing>
              <wp:anchor distT="0" distB="0" distL="114300" distR="114300" simplePos="0" relativeHeight="251658240" behindDoc="0" locked="0" layoutInCell="1" allowOverlap="1" wp14:anchorId="33043F80" wp14:editId="4504EFAF">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460484" w14:textId="77777777" w:rsidR="0065673A" w:rsidRPr="00287362" w:rsidRDefault="0065673A"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1F2806E2" w14:textId="3481F150" w:rsidR="0065673A" w:rsidRPr="006223EA" w:rsidRDefault="0065673A" w:rsidP="00A45BBC">
                            <w:pPr>
                              <w:spacing w:after="0" w:line="240" w:lineRule="auto"/>
                              <w:rPr>
                                <w:rFonts w:cs="Segoe UI"/>
                                <w:color w:val="233845" w:themeColor="text2"/>
                                <w:sz w:val="24"/>
                              </w:rPr>
                            </w:pPr>
                            <w:r>
                              <w:rPr>
                                <w:rFonts w:cs="Segoe UI"/>
                                <w:color w:val="233845" w:themeColor="text2"/>
                                <w:sz w:val="24"/>
                              </w:rPr>
                              <w:t>v1.28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43F80"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3E460484" w14:textId="77777777" w:rsidR="0065673A" w:rsidRPr="00287362" w:rsidRDefault="0065673A"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1F2806E2" w14:textId="3481F150" w:rsidR="0065673A" w:rsidRPr="006223EA" w:rsidRDefault="0065673A" w:rsidP="00A45BBC">
                      <w:pPr>
                        <w:spacing w:after="0" w:line="240" w:lineRule="auto"/>
                        <w:rPr>
                          <w:rFonts w:cs="Segoe UI"/>
                          <w:color w:val="233845" w:themeColor="text2"/>
                          <w:sz w:val="24"/>
                        </w:rPr>
                      </w:pPr>
                      <w:r>
                        <w:rPr>
                          <w:rFonts w:cs="Segoe UI"/>
                          <w:color w:val="233845" w:themeColor="text2"/>
                          <w:sz w:val="24"/>
                        </w:rPr>
                        <w:t>v1.28 Release Notes</w:t>
                      </w:r>
                    </w:p>
                  </w:txbxContent>
                </v:textbox>
                <w10:wrap anchorx="margin"/>
              </v:shape>
            </w:pict>
          </mc:Fallback>
        </mc:AlternateContent>
      </w:r>
    </w:p>
    <w:p w14:paraId="79D923F3" w14:textId="77777777" w:rsidR="00E85C73" w:rsidRDefault="00BD18A6" w:rsidP="00046AE9">
      <w:pPr>
        <w:pStyle w:val="Heading1"/>
      </w:pPr>
      <w:bookmarkStart w:id="2" w:name="_Toc517953894"/>
      <w:r>
        <w:t>About this Document</w:t>
      </w:r>
      <w:bookmarkEnd w:id="2"/>
    </w:p>
    <w:p w14:paraId="1A452C7F" w14:textId="77777777" w:rsidR="0010746C" w:rsidRDefault="0010746C" w:rsidP="00886982">
      <w:pPr>
        <w:pStyle w:val="Heading2"/>
      </w:pPr>
      <w:bookmarkStart w:id="3" w:name="_Toc517953895"/>
      <w:r>
        <w:t>Purpose</w:t>
      </w:r>
      <w:bookmarkEnd w:id="3"/>
    </w:p>
    <w:p w14:paraId="6AC8CA7E" w14:textId="563F2F85" w:rsidR="00F420B2" w:rsidRDefault="0064515E" w:rsidP="0064515E">
      <w:r>
        <w:t xml:space="preserve">This document provides a brief overview </w:t>
      </w:r>
      <w:r w:rsidR="00704CAF">
        <w:t>of the changes made between V1</w:t>
      </w:r>
      <w:r w:rsidR="00300D2F">
        <w:t>.</w:t>
      </w:r>
      <w:r w:rsidR="00046AE9">
        <w:t>27</w:t>
      </w:r>
      <w:r w:rsidR="00704CAF">
        <w:t xml:space="preserve"> and V1.</w:t>
      </w:r>
      <w:r w:rsidR="00046AE9">
        <w:t>28</w:t>
      </w:r>
      <w:r>
        <w:t xml:space="preserve"> of </w:t>
      </w:r>
      <w:r w:rsidR="00287362">
        <w:t xml:space="preserve">GoTechnology </w:t>
      </w:r>
      <w:r>
        <w:t>hub2, along with where further details of each change can be found within the updated functional specification, in addition to a listing of completed bug fixes and known issues.</w:t>
      </w:r>
    </w:p>
    <w:p w14:paraId="340D331E" w14:textId="77777777" w:rsidR="00522A9A" w:rsidRDefault="00522A9A" w:rsidP="0064515E"/>
    <w:p w14:paraId="796EDCBD" w14:textId="77777777" w:rsidR="00E85C73" w:rsidRDefault="00E85C73" w:rsidP="00046AE9">
      <w:pPr>
        <w:pStyle w:val="Heading1"/>
      </w:pPr>
      <w:bookmarkStart w:id="4" w:name="_Toc517953898"/>
      <w:r>
        <w:t>Fixed Issues</w:t>
      </w:r>
      <w:bookmarkEnd w:id="4"/>
    </w:p>
    <w:p w14:paraId="2D172C82" w14:textId="72A5C91D" w:rsidR="00E85C73" w:rsidRDefault="00E85C73" w:rsidP="00F420B2">
      <w:r>
        <w:t xml:space="preserve">The following </w:t>
      </w:r>
      <w:r w:rsidR="008018B6">
        <w:t>issues have been fixed in version 1.</w:t>
      </w:r>
      <w:r w:rsidR="00046AE9">
        <w:t>28</w:t>
      </w:r>
      <w:r w:rsidR="008018B6">
        <w:t xml:space="preserve"> of hub2</w:t>
      </w:r>
    </w:p>
    <w:tbl>
      <w:tblPr>
        <w:tblStyle w:val="MiscTable"/>
        <w:tblW w:w="10031" w:type="dxa"/>
        <w:tblLook w:val="0420" w:firstRow="1" w:lastRow="0" w:firstColumn="0" w:lastColumn="0" w:noHBand="0" w:noVBand="1"/>
      </w:tblPr>
      <w:tblGrid>
        <w:gridCol w:w="841"/>
        <w:gridCol w:w="2551"/>
        <w:gridCol w:w="6639"/>
      </w:tblGrid>
      <w:tr w:rsidR="00886982" w:rsidRPr="00F426FD" w14:paraId="7B69CEDD"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Borders>
              <w:top w:val="none" w:sz="0" w:space="0" w:color="auto"/>
              <w:left w:val="none" w:sz="0" w:space="0" w:color="auto"/>
              <w:bottom w:val="none" w:sz="0" w:space="0" w:color="auto"/>
              <w:right w:val="none" w:sz="0" w:space="0" w:color="auto"/>
            </w:tcBorders>
            <w:vAlign w:val="top"/>
          </w:tcPr>
          <w:p w14:paraId="6D1335CA" w14:textId="77777777" w:rsidR="00886982" w:rsidRPr="00F426FD" w:rsidRDefault="00886982" w:rsidP="00886982">
            <w:pPr>
              <w:pStyle w:val="BodyText"/>
              <w:rPr>
                <w:color w:val="FFFFFF" w:themeColor="background1"/>
              </w:rPr>
            </w:pPr>
            <w:r w:rsidRPr="00F426FD">
              <w:rPr>
                <w:color w:val="FFFFFF" w:themeColor="background1"/>
              </w:rPr>
              <w:t>Case</w:t>
            </w:r>
          </w:p>
        </w:tc>
        <w:tc>
          <w:tcPr>
            <w:tcW w:w="2551" w:type="dxa"/>
            <w:tcBorders>
              <w:top w:val="none" w:sz="0" w:space="0" w:color="auto"/>
              <w:left w:val="none" w:sz="0" w:space="0" w:color="auto"/>
              <w:bottom w:val="none" w:sz="0" w:space="0" w:color="auto"/>
              <w:right w:val="none" w:sz="0" w:space="0" w:color="auto"/>
            </w:tcBorders>
            <w:vAlign w:val="top"/>
          </w:tcPr>
          <w:p w14:paraId="150379ED" w14:textId="77777777" w:rsidR="00886982" w:rsidRPr="00F426FD" w:rsidRDefault="00886982" w:rsidP="00886982">
            <w:pPr>
              <w:pStyle w:val="BodyText"/>
              <w:rPr>
                <w:color w:val="FFFFFF" w:themeColor="background1"/>
              </w:rPr>
            </w:pPr>
            <w:r w:rsidRPr="00F426FD">
              <w:rPr>
                <w:color w:val="FFFFFF" w:themeColor="background1"/>
              </w:rPr>
              <w:t>Title [sic]</w:t>
            </w:r>
          </w:p>
        </w:tc>
        <w:tc>
          <w:tcPr>
            <w:tcW w:w="6639" w:type="dxa"/>
            <w:tcBorders>
              <w:top w:val="none" w:sz="0" w:space="0" w:color="auto"/>
              <w:left w:val="none" w:sz="0" w:space="0" w:color="auto"/>
              <w:bottom w:val="none" w:sz="0" w:space="0" w:color="auto"/>
              <w:right w:val="none" w:sz="0" w:space="0" w:color="auto"/>
            </w:tcBorders>
            <w:vAlign w:val="top"/>
          </w:tcPr>
          <w:p w14:paraId="4169302C" w14:textId="77777777" w:rsidR="00886982" w:rsidRPr="00F426FD" w:rsidRDefault="00886982" w:rsidP="00886982">
            <w:pPr>
              <w:pStyle w:val="BodyText"/>
              <w:rPr>
                <w:color w:val="FFFFFF" w:themeColor="background1"/>
              </w:rPr>
            </w:pPr>
            <w:r w:rsidRPr="00F426FD">
              <w:rPr>
                <w:color w:val="FFFFFF" w:themeColor="background1"/>
              </w:rPr>
              <w:t>Details</w:t>
            </w:r>
          </w:p>
        </w:tc>
      </w:tr>
      <w:tr w:rsidR="00301FE7" w:rsidRPr="00F426FD" w14:paraId="58CC776D"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66DF2A37" w14:textId="6BB75246" w:rsidR="00301FE7" w:rsidRPr="00F426FD" w:rsidRDefault="006D2D91" w:rsidP="0021625B">
            <w:pPr>
              <w:jc w:val="left"/>
              <w:rPr>
                <w:rFonts w:cs="Segoe UI"/>
                <w:szCs w:val="20"/>
              </w:rPr>
            </w:pPr>
            <w:r>
              <w:rPr>
                <w:rFonts w:cs="Segoe UI"/>
                <w:szCs w:val="20"/>
              </w:rPr>
              <w:t>66070</w:t>
            </w:r>
          </w:p>
        </w:tc>
        <w:tc>
          <w:tcPr>
            <w:tcW w:w="2551" w:type="dxa"/>
          </w:tcPr>
          <w:p w14:paraId="1A637625" w14:textId="7579D018" w:rsidR="00301FE7" w:rsidRPr="00F426FD" w:rsidRDefault="006D2D91" w:rsidP="0021625B">
            <w:pPr>
              <w:jc w:val="left"/>
              <w:rPr>
                <w:rFonts w:cs="Segoe UI"/>
                <w:szCs w:val="20"/>
              </w:rPr>
            </w:pPr>
            <w:r>
              <w:rPr>
                <w:rFonts w:cs="Segoe UI"/>
                <w:szCs w:val="20"/>
              </w:rPr>
              <w:t>Tag PWL: User can Sign Off Tag PWL without Due Date via Digital Document Sign Off</w:t>
            </w:r>
          </w:p>
        </w:tc>
        <w:tc>
          <w:tcPr>
            <w:tcW w:w="6639" w:type="dxa"/>
          </w:tcPr>
          <w:p w14:paraId="31CE26ED" w14:textId="399F7AA7" w:rsidR="00301FE7" w:rsidRDefault="006D2D91" w:rsidP="0021625B">
            <w:pPr>
              <w:jc w:val="left"/>
              <w:rPr>
                <w:rFonts w:cs="Segoe UI"/>
                <w:szCs w:val="20"/>
              </w:rPr>
            </w:pPr>
            <w:r>
              <w:rPr>
                <w:rFonts w:cs="Segoe UI"/>
                <w:szCs w:val="20"/>
              </w:rPr>
              <w:t xml:space="preserve">For Tag PWL it should not be possible to sign off any Tag PWL without a Due Date, but when completing </w:t>
            </w:r>
            <w:r w:rsidR="00934CDA">
              <w:rPr>
                <w:rFonts w:cs="Segoe UI"/>
                <w:szCs w:val="20"/>
              </w:rPr>
              <w:t>the Tag PWL via the Digital</w:t>
            </w:r>
            <w:r>
              <w:rPr>
                <w:rFonts w:cs="Segoe UI"/>
                <w:szCs w:val="20"/>
              </w:rPr>
              <w:t xml:space="preserve"> </w:t>
            </w:r>
            <w:r w:rsidR="00934CDA">
              <w:rPr>
                <w:rFonts w:cs="Segoe UI"/>
                <w:szCs w:val="20"/>
              </w:rPr>
              <w:t>Document screen,</w:t>
            </w:r>
            <w:r>
              <w:rPr>
                <w:rFonts w:cs="Segoe UI"/>
                <w:szCs w:val="20"/>
              </w:rPr>
              <w:t xml:space="preserve"> it was possible to sign off the Tag PWL without a Due Date.</w:t>
            </w:r>
          </w:p>
          <w:p w14:paraId="74B82E13" w14:textId="15C597BE" w:rsidR="006D2D91" w:rsidRPr="00F426FD" w:rsidRDefault="006D2D91" w:rsidP="0021625B">
            <w:pPr>
              <w:jc w:val="left"/>
              <w:rPr>
                <w:rFonts w:cs="Segoe UI"/>
                <w:szCs w:val="20"/>
              </w:rPr>
            </w:pPr>
            <w:r>
              <w:rPr>
                <w:rFonts w:cs="Segoe UI"/>
                <w:szCs w:val="20"/>
              </w:rPr>
              <w:t>This has now been fixed and Tag PWL cannot be signed off if the Due Date is not completed.</w:t>
            </w:r>
          </w:p>
        </w:tc>
      </w:tr>
      <w:tr w:rsidR="00301FE7" w:rsidRPr="00F426FD" w14:paraId="3A8B7857" w14:textId="77777777" w:rsidTr="00F95316">
        <w:tc>
          <w:tcPr>
            <w:tcW w:w="841" w:type="dxa"/>
          </w:tcPr>
          <w:p w14:paraId="370E796C" w14:textId="225F16C1" w:rsidR="00301FE7" w:rsidRPr="00F426FD" w:rsidRDefault="006D2D91" w:rsidP="0021625B">
            <w:pPr>
              <w:jc w:val="left"/>
              <w:rPr>
                <w:rFonts w:cs="Segoe UI"/>
                <w:szCs w:val="20"/>
              </w:rPr>
            </w:pPr>
            <w:r>
              <w:rPr>
                <w:rFonts w:cs="Segoe UI"/>
                <w:szCs w:val="20"/>
              </w:rPr>
              <w:t>66195</w:t>
            </w:r>
          </w:p>
        </w:tc>
        <w:tc>
          <w:tcPr>
            <w:tcW w:w="2551" w:type="dxa"/>
          </w:tcPr>
          <w:p w14:paraId="4155027F" w14:textId="2F281FC5" w:rsidR="00301FE7" w:rsidRPr="00F426FD" w:rsidRDefault="006D2D91" w:rsidP="0021625B">
            <w:pPr>
              <w:jc w:val="left"/>
              <w:rPr>
                <w:rFonts w:cs="Segoe UI"/>
                <w:szCs w:val="20"/>
              </w:rPr>
            </w:pPr>
            <w:r>
              <w:rPr>
                <w:rFonts w:cs="Segoe UI"/>
                <w:szCs w:val="20"/>
              </w:rPr>
              <w:t>Digital Document: Document Links Table Bookmark causing Error</w:t>
            </w:r>
          </w:p>
        </w:tc>
        <w:tc>
          <w:tcPr>
            <w:tcW w:w="6639" w:type="dxa"/>
          </w:tcPr>
          <w:p w14:paraId="35A19DBF" w14:textId="77777777" w:rsidR="00301FE7" w:rsidRDefault="006D2D91" w:rsidP="0021625B">
            <w:pPr>
              <w:jc w:val="left"/>
              <w:rPr>
                <w:rFonts w:cs="Segoe UI"/>
                <w:szCs w:val="20"/>
              </w:rPr>
            </w:pPr>
            <w:r>
              <w:rPr>
                <w:rFonts w:cs="Segoe UI"/>
                <w:szCs w:val="20"/>
              </w:rPr>
              <w:t xml:space="preserve">When using the Document Link Table Bookmark on a Digital Document or DOTX Template, when generation the document to PDF to DOTX.  </w:t>
            </w:r>
          </w:p>
          <w:p w14:paraId="754D88F1" w14:textId="67405AA6" w:rsidR="006D2D91" w:rsidRPr="00F426FD" w:rsidRDefault="006D2D91" w:rsidP="0021625B">
            <w:pPr>
              <w:jc w:val="left"/>
              <w:rPr>
                <w:rFonts w:cs="Segoe UI"/>
                <w:szCs w:val="20"/>
              </w:rPr>
            </w:pPr>
            <w:r>
              <w:rPr>
                <w:rFonts w:cs="Segoe UI"/>
                <w:szCs w:val="20"/>
              </w:rPr>
              <w:t>This has now been fixed and the Document Link bookmark works correctly.</w:t>
            </w:r>
          </w:p>
        </w:tc>
      </w:tr>
      <w:tr w:rsidR="00301FE7" w:rsidRPr="00F426FD" w14:paraId="1D369137"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139485F0" w14:textId="3AF16BAE" w:rsidR="00301FE7" w:rsidRPr="00F426FD" w:rsidRDefault="00BE0E61" w:rsidP="0021625B">
            <w:pPr>
              <w:jc w:val="left"/>
              <w:rPr>
                <w:rFonts w:cs="Segoe UI"/>
                <w:szCs w:val="20"/>
              </w:rPr>
            </w:pPr>
            <w:r>
              <w:rPr>
                <w:rFonts w:cs="Segoe UI"/>
                <w:szCs w:val="20"/>
              </w:rPr>
              <w:t>66347</w:t>
            </w:r>
          </w:p>
        </w:tc>
        <w:tc>
          <w:tcPr>
            <w:tcW w:w="2551" w:type="dxa"/>
          </w:tcPr>
          <w:p w14:paraId="43E303FB" w14:textId="65AA76CF" w:rsidR="00301FE7" w:rsidRPr="00F426FD" w:rsidRDefault="00BE0E61" w:rsidP="0021625B">
            <w:pPr>
              <w:jc w:val="left"/>
              <w:rPr>
                <w:rFonts w:cs="Segoe UI"/>
                <w:szCs w:val="20"/>
              </w:rPr>
            </w:pPr>
            <w:r>
              <w:rPr>
                <w:rFonts w:cs="Segoe UI"/>
                <w:szCs w:val="20"/>
              </w:rPr>
              <w:t>User receives assignment notifications on Simulate Import</w:t>
            </w:r>
          </w:p>
        </w:tc>
        <w:tc>
          <w:tcPr>
            <w:tcW w:w="6639" w:type="dxa"/>
          </w:tcPr>
          <w:p w14:paraId="1A9C3523" w14:textId="3EA5E8E4" w:rsidR="00BE0E61" w:rsidRDefault="00BE0E61" w:rsidP="0021625B">
            <w:pPr>
              <w:jc w:val="left"/>
              <w:rPr>
                <w:rFonts w:cs="Segoe UI"/>
                <w:szCs w:val="20"/>
              </w:rPr>
            </w:pPr>
            <w:r>
              <w:rPr>
                <w:rFonts w:cs="Segoe UI"/>
                <w:szCs w:val="20"/>
              </w:rPr>
              <w:t xml:space="preserve">When </w:t>
            </w:r>
            <w:r w:rsidR="00934CDA">
              <w:rPr>
                <w:rFonts w:cs="Segoe UI"/>
                <w:szCs w:val="20"/>
              </w:rPr>
              <w:t xml:space="preserve">running a Simulate Import that included a reassignment of any item in hub2 (i.e. Tag ITRs), an alert message would be sent to the user that the item was reassigned to even though a Simulate import wouldn’t </w:t>
            </w:r>
            <w:r w:rsidR="007A6B23">
              <w:rPr>
                <w:rFonts w:cs="Segoe UI"/>
                <w:szCs w:val="20"/>
              </w:rPr>
              <w:t>reassign</w:t>
            </w:r>
            <w:r w:rsidR="00934CDA">
              <w:rPr>
                <w:rFonts w:cs="Segoe UI"/>
                <w:szCs w:val="20"/>
              </w:rPr>
              <w:t xml:space="preserve"> the item.</w:t>
            </w:r>
          </w:p>
          <w:p w14:paraId="771C8C12" w14:textId="0E98B4B5" w:rsidR="00BE0E61" w:rsidRPr="00F426FD" w:rsidRDefault="00BE0E61" w:rsidP="0021625B">
            <w:pPr>
              <w:jc w:val="left"/>
              <w:rPr>
                <w:rFonts w:cs="Segoe UI"/>
                <w:szCs w:val="20"/>
              </w:rPr>
            </w:pPr>
            <w:r>
              <w:rPr>
                <w:rFonts w:cs="Segoe UI"/>
                <w:szCs w:val="20"/>
              </w:rPr>
              <w:t xml:space="preserve">This has been changed so notifications only happen when the item is </w:t>
            </w:r>
            <w:r w:rsidR="00934CDA">
              <w:rPr>
                <w:rFonts w:cs="Segoe UI"/>
                <w:szCs w:val="20"/>
              </w:rPr>
              <w:t>reassigned</w:t>
            </w:r>
            <w:r>
              <w:rPr>
                <w:rFonts w:cs="Segoe UI"/>
                <w:szCs w:val="20"/>
              </w:rPr>
              <w:t xml:space="preserve"> via a Full Import. </w:t>
            </w:r>
          </w:p>
        </w:tc>
      </w:tr>
      <w:tr w:rsidR="00E1741E" w:rsidRPr="00F426FD" w14:paraId="4EC90D11" w14:textId="77777777" w:rsidTr="00F95316">
        <w:tc>
          <w:tcPr>
            <w:tcW w:w="841" w:type="dxa"/>
          </w:tcPr>
          <w:p w14:paraId="516DBC6D" w14:textId="030FF4E2" w:rsidR="00E1741E" w:rsidRPr="00F426FD" w:rsidRDefault="00BE0E61" w:rsidP="0021625B">
            <w:pPr>
              <w:jc w:val="left"/>
              <w:rPr>
                <w:rFonts w:cs="Segoe UI"/>
                <w:szCs w:val="20"/>
              </w:rPr>
            </w:pPr>
            <w:r>
              <w:rPr>
                <w:rFonts w:cs="Segoe UI"/>
                <w:szCs w:val="20"/>
              </w:rPr>
              <w:t>66422</w:t>
            </w:r>
          </w:p>
        </w:tc>
        <w:tc>
          <w:tcPr>
            <w:tcW w:w="2551" w:type="dxa"/>
          </w:tcPr>
          <w:p w14:paraId="79E28C71" w14:textId="331B3C30" w:rsidR="00E1741E" w:rsidRPr="00F426FD" w:rsidRDefault="00BE0E61" w:rsidP="0021625B">
            <w:pPr>
              <w:jc w:val="left"/>
              <w:rPr>
                <w:rFonts w:cs="Segoe UI"/>
                <w:szCs w:val="20"/>
              </w:rPr>
            </w:pPr>
            <w:r>
              <w:rPr>
                <w:rFonts w:cs="Segoe UI"/>
                <w:szCs w:val="20"/>
              </w:rPr>
              <w:t>Cannot reorder Digital Documents Tasks without increasing Revision</w:t>
            </w:r>
          </w:p>
        </w:tc>
        <w:tc>
          <w:tcPr>
            <w:tcW w:w="6639" w:type="dxa"/>
          </w:tcPr>
          <w:p w14:paraId="652DE3A7" w14:textId="5521CCD2" w:rsidR="00E1741E" w:rsidRDefault="00BE0E61" w:rsidP="0021625B">
            <w:pPr>
              <w:jc w:val="left"/>
              <w:rPr>
                <w:rFonts w:cs="Segoe UI"/>
                <w:szCs w:val="20"/>
              </w:rPr>
            </w:pPr>
            <w:r>
              <w:rPr>
                <w:rFonts w:cs="Segoe UI"/>
                <w:szCs w:val="20"/>
              </w:rPr>
              <w:t xml:space="preserve">Sometimes when reordering the Digital Documents Tasks and changing the number order, it causes the application to treat the </w:t>
            </w:r>
            <w:r w:rsidR="00F00557">
              <w:rPr>
                <w:rFonts w:cs="Segoe UI"/>
                <w:szCs w:val="20"/>
              </w:rPr>
              <w:t xml:space="preserve">reordered </w:t>
            </w:r>
            <w:r>
              <w:rPr>
                <w:rFonts w:cs="Segoe UI"/>
                <w:szCs w:val="20"/>
              </w:rPr>
              <w:t xml:space="preserve">Task as a new </w:t>
            </w:r>
            <w:r w:rsidR="00F00557">
              <w:rPr>
                <w:rFonts w:cs="Segoe UI"/>
                <w:szCs w:val="20"/>
              </w:rPr>
              <w:t>Task and forces the user to increase the revision.</w:t>
            </w:r>
          </w:p>
          <w:p w14:paraId="0332CC02" w14:textId="0C96C402" w:rsidR="00F00557" w:rsidRPr="00F426FD" w:rsidRDefault="00F00557" w:rsidP="0021625B">
            <w:pPr>
              <w:jc w:val="left"/>
              <w:rPr>
                <w:rFonts w:cs="Segoe UI"/>
                <w:szCs w:val="20"/>
              </w:rPr>
            </w:pPr>
            <w:r>
              <w:rPr>
                <w:rFonts w:cs="Segoe UI"/>
                <w:szCs w:val="20"/>
              </w:rPr>
              <w:t xml:space="preserve">This behaviour has been improved so that </w:t>
            </w:r>
            <w:r w:rsidR="00D173FF">
              <w:rPr>
                <w:rFonts w:cs="Segoe UI"/>
                <w:szCs w:val="20"/>
              </w:rPr>
              <w:t xml:space="preserve">a </w:t>
            </w:r>
            <w:r>
              <w:rPr>
                <w:rFonts w:cs="Segoe UI"/>
                <w:szCs w:val="20"/>
              </w:rPr>
              <w:t xml:space="preserve">reordered task is not treated as a new one, </w:t>
            </w:r>
            <w:r w:rsidR="002A34B4">
              <w:rPr>
                <w:rFonts w:cs="Segoe UI"/>
                <w:szCs w:val="20"/>
              </w:rPr>
              <w:t>so reordering Tasks no longer forces a new Revision.</w:t>
            </w:r>
            <w:r>
              <w:rPr>
                <w:rFonts w:cs="Segoe UI"/>
                <w:szCs w:val="20"/>
              </w:rPr>
              <w:t xml:space="preserve"> </w:t>
            </w:r>
          </w:p>
        </w:tc>
      </w:tr>
      <w:tr w:rsidR="00E1741E" w:rsidRPr="00F426FD" w14:paraId="60E44D0C"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120722B1" w14:textId="32061975" w:rsidR="00E1741E" w:rsidRPr="00F426FD" w:rsidRDefault="00F00557" w:rsidP="0021625B">
            <w:pPr>
              <w:jc w:val="left"/>
              <w:rPr>
                <w:rFonts w:cs="Segoe UI"/>
                <w:szCs w:val="20"/>
              </w:rPr>
            </w:pPr>
            <w:r>
              <w:rPr>
                <w:rFonts w:cs="Segoe UI"/>
                <w:szCs w:val="20"/>
              </w:rPr>
              <w:t>66500</w:t>
            </w:r>
          </w:p>
        </w:tc>
        <w:tc>
          <w:tcPr>
            <w:tcW w:w="2551" w:type="dxa"/>
          </w:tcPr>
          <w:p w14:paraId="36CA9ECB" w14:textId="0A5BC8FF" w:rsidR="00E1741E" w:rsidRPr="00F426FD" w:rsidRDefault="00F00557" w:rsidP="0021625B">
            <w:pPr>
              <w:jc w:val="left"/>
              <w:rPr>
                <w:rFonts w:cs="Segoe UI"/>
                <w:szCs w:val="20"/>
              </w:rPr>
            </w:pPr>
            <w:r>
              <w:rPr>
                <w:rFonts w:cs="Segoe UI"/>
                <w:szCs w:val="20"/>
              </w:rPr>
              <w:t xml:space="preserve">Action Column doesn’t </w:t>
            </w:r>
            <w:r w:rsidR="007107C0">
              <w:rPr>
                <w:rFonts w:cs="Segoe UI"/>
                <w:szCs w:val="20"/>
              </w:rPr>
              <w:t>trim white space</w:t>
            </w:r>
          </w:p>
        </w:tc>
        <w:tc>
          <w:tcPr>
            <w:tcW w:w="6639" w:type="dxa"/>
          </w:tcPr>
          <w:p w14:paraId="5D3C2DB9" w14:textId="0A827A23" w:rsidR="00F00557" w:rsidRDefault="00F00557" w:rsidP="0021625B">
            <w:pPr>
              <w:jc w:val="left"/>
              <w:rPr>
                <w:rFonts w:cs="Segoe UI"/>
                <w:szCs w:val="20"/>
              </w:rPr>
            </w:pPr>
            <w:r>
              <w:rPr>
                <w:rFonts w:cs="Segoe UI"/>
                <w:szCs w:val="20"/>
              </w:rPr>
              <w:t>On hub2 Imports an Action column can be added to an Import sheet to do special actions to each row such as Delete the row.  These action columns rely on keywords e.</w:t>
            </w:r>
            <w:r w:rsidR="009A780F">
              <w:rPr>
                <w:rFonts w:cs="Segoe UI"/>
                <w:szCs w:val="20"/>
              </w:rPr>
              <w:t>g</w:t>
            </w:r>
            <w:r>
              <w:rPr>
                <w:rFonts w:cs="Segoe UI"/>
                <w:szCs w:val="20"/>
              </w:rPr>
              <w:t>. “Delete” to make sure that the correct action is performed.</w:t>
            </w:r>
          </w:p>
          <w:p w14:paraId="163A97F5" w14:textId="5A20D35F" w:rsidR="00F00557" w:rsidRPr="00F426FD" w:rsidRDefault="00F00557" w:rsidP="0021625B">
            <w:pPr>
              <w:jc w:val="left"/>
              <w:rPr>
                <w:rFonts w:cs="Segoe UI"/>
                <w:szCs w:val="20"/>
              </w:rPr>
            </w:pPr>
            <w:r>
              <w:rPr>
                <w:rFonts w:cs="Segoe UI"/>
                <w:szCs w:val="20"/>
              </w:rPr>
              <w:t xml:space="preserve">Unlike other columns any trailing white space after the column </w:t>
            </w:r>
            <w:r w:rsidR="004A2C48">
              <w:rPr>
                <w:rFonts w:cs="Segoe UI"/>
                <w:szCs w:val="20"/>
              </w:rPr>
              <w:t>was</w:t>
            </w:r>
            <w:r>
              <w:rPr>
                <w:rFonts w:cs="Segoe UI"/>
                <w:szCs w:val="20"/>
              </w:rPr>
              <w:t xml:space="preserve"> not ignored means the action column </w:t>
            </w:r>
            <w:r w:rsidR="002A34B4">
              <w:rPr>
                <w:rFonts w:cs="Segoe UI"/>
                <w:szCs w:val="20"/>
              </w:rPr>
              <w:t>with space after it was invalid.  This has now been fixed and trailing white space is removed automatically.</w:t>
            </w:r>
          </w:p>
        </w:tc>
      </w:tr>
      <w:tr w:rsidR="00F00557" w:rsidRPr="00F426FD" w14:paraId="68EFF76F" w14:textId="77777777" w:rsidTr="00F95316">
        <w:tc>
          <w:tcPr>
            <w:tcW w:w="841" w:type="dxa"/>
          </w:tcPr>
          <w:p w14:paraId="74E61EBA" w14:textId="5BACB40C" w:rsidR="00F00557" w:rsidRDefault="00AB0686" w:rsidP="0021625B">
            <w:pPr>
              <w:jc w:val="left"/>
              <w:rPr>
                <w:rFonts w:cs="Segoe UI"/>
                <w:szCs w:val="20"/>
              </w:rPr>
            </w:pPr>
            <w:r>
              <w:rPr>
                <w:rFonts w:cs="Segoe UI"/>
                <w:szCs w:val="20"/>
              </w:rPr>
              <w:lastRenderedPageBreak/>
              <w:t>65949</w:t>
            </w:r>
          </w:p>
        </w:tc>
        <w:tc>
          <w:tcPr>
            <w:tcW w:w="2551" w:type="dxa"/>
          </w:tcPr>
          <w:p w14:paraId="3B35C6E6" w14:textId="14E258D2" w:rsidR="00F00557" w:rsidRDefault="00F00557" w:rsidP="0021625B">
            <w:pPr>
              <w:jc w:val="left"/>
              <w:rPr>
                <w:rFonts w:cs="Segoe UI"/>
                <w:szCs w:val="20"/>
              </w:rPr>
            </w:pPr>
            <w:r>
              <w:rPr>
                <w:rFonts w:cs="Segoe UI"/>
                <w:szCs w:val="20"/>
              </w:rPr>
              <w:t xml:space="preserve">Import Error with </w:t>
            </w:r>
            <w:r w:rsidR="00190CF6">
              <w:rPr>
                <w:rFonts w:cs="Segoe UI"/>
                <w:szCs w:val="20"/>
              </w:rPr>
              <w:t xml:space="preserve">Decimal </w:t>
            </w:r>
            <w:r>
              <w:rPr>
                <w:rFonts w:cs="Segoe UI"/>
                <w:szCs w:val="20"/>
              </w:rPr>
              <w:t>Numbers</w:t>
            </w:r>
          </w:p>
        </w:tc>
        <w:tc>
          <w:tcPr>
            <w:tcW w:w="6639" w:type="dxa"/>
          </w:tcPr>
          <w:p w14:paraId="63E368D2" w14:textId="1EAA163C" w:rsidR="00F00557" w:rsidRDefault="004833D2" w:rsidP="0021625B">
            <w:pPr>
              <w:jc w:val="left"/>
              <w:rPr>
                <w:rFonts w:cs="Segoe UI"/>
                <w:szCs w:val="20"/>
              </w:rPr>
            </w:pPr>
            <w:r>
              <w:rPr>
                <w:rFonts w:cs="Segoe UI"/>
                <w:szCs w:val="20"/>
              </w:rPr>
              <w:t>When</w:t>
            </w:r>
            <w:r w:rsidR="00F00557">
              <w:rPr>
                <w:rFonts w:cs="Segoe UI"/>
                <w:szCs w:val="20"/>
              </w:rPr>
              <w:t xml:space="preserve"> using </w:t>
            </w:r>
            <w:r w:rsidR="00190CF6">
              <w:rPr>
                <w:rFonts w:cs="Segoe UI"/>
                <w:szCs w:val="20"/>
              </w:rPr>
              <w:t>decimal numbers</w:t>
            </w:r>
            <w:r w:rsidR="00F00557">
              <w:rPr>
                <w:rFonts w:cs="Segoe UI"/>
                <w:szCs w:val="20"/>
              </w:rPr>
              <w:t xml:space="preserve"> (</w:t>
            </w:r>
            <w:r w:rsidR="00FF7232">
              <w:rPr>
                <w:rFonts w:cs="Segoe UI"/>
                <w:szCs w:val="20"/>
              </w:rPr>
              <w:t xml:space="preserve">e.g. </w:t>
            </w:r>
            <w:r w:rsidR="00F00557">
              <w:rPr>
                <w:rFonts w:cs="Segoe UI"/>
                <w:szCs w:val="20"/>
              </w:rPr>
              <w:t xml:space="preserve">2.25) in the Imports that exceed the limit, the validation check for these numbers was not correctly applied if the number </w:t>
            </w:r>
            <w:r w:rsidR="00697C34">
              <w:rPr>
                <w:rFonts w:cs="Segoe UI"/>
                <w:szCs w:val="20"/>
              </w:rPr>
              <w:t xml:space="preserve">the user input </w:t>
            </w:r>
            <w:r w:rsidR="00F00557">
              <w:rPr>
                <w:rFonts w:cs="Segoe UI"/>
                <w:szCs w:val="20"/>
              </w:rPr>
              <w:t>didn’t include a decimal place.</w:t>
            </w:r>
          </w:p>
          <w:p w14:paraId="191C2CD0" w14:textId="4C470E48" w:rsidR="00F00557" w:rsidRDefault="00F00557" w:rsidP="0021625B">
            <w:pPr>
              <w:jc w:val="left"/>
              <w:rPr>
                <w:rFonts w:cs="Segoe UI"/>
                <w:szCs w:val="20"/>
              </w:rPr>
            </w:pPr>
            <w:r>
              <w:rPr>
                <w:rFonts w:cs="Segoe UI"/>
                <w:szCs w:val="20"/>
              </w:rPr>
              <w:t xml:space="preserve">This has now been fixed and the Validation works even if the user doesn’t </w:t>
            </w:r>
            <w:r w:rsidR="004710DD">
              <w:rPr>
                <w:rFonts w:cs="Segoe UI"/>
                <w:szCs w:val="20"/>
              </w:rPr>
              <w:t>include</w:t>
            </w:r>
            <w:r>
              <w:rPr>
                <w:rFonts w:cs="Segoe UI"/>
                <w:szCs w:val="20"/>
              </w:rPr>
              <w:t xml:space="preserve"> a decimal place.</w:t>
            </w:r>
          </w:p>
        </w:tc>
      </w:tr>
      <w:tr w:rsidR="004710DD" w:rsidRPr="00F426FD" w14:paraId="53FA4093"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1B4DCD87" w14:textId="46D985B5" w:rsidR="004710DD" w:rsidRDefault="004710DD" w:rsidP="0021625B">
            <w:pPr>
              <w:jc w:val="left"/>
              <w:rPr>
                <w:rFonts w:cs="Segoe UI"/>
                <w:szCs w:val="20"/>
              </w:rPr>
            </w:pPr>
            <w:r>
              <w:rPr>
                <w:rFonts w:cs="Segoe UI"/>
                <w:szCs w:val="20"/>
              </w:rPr>
              <w:t>66150</w:t>
            </w:r>
          </w:p>
        </w:tc>
        <w:tc>
          <w:tcPr>
            <w:tcW w:w="2551" w:type="dxa"/>
          </w:tcPr>
          <w:p w14:paraId="12D27C94" w14:textId="44F59D59" w:rsidR="004710DD" w:rsidRDefault="004710DD" w:rsidP="0021625B">
            <w:pPr>
              <w:jc w:val="left"/>
              <w:rPr>
                <w:rFonts w:cs="Segoe UI"/>
                <w:szCs w:val="20"/>
              </w:rPr>
            </w:pPr>
            <w:r>
              <w:rPr>
                <w:rFonts w:cs="Segoe UI"/>
                <w:szCs w:val="20"/>
              </w:rPr>
              <w:t>Old Date Fields appeared i</w:t>
            </w:r>
            <w:r w:rsidR="00C60F7C">
              <w:rPr>
                <w:rFonts w:cs="Segoe UI"/>
                <w:szCs w:val="20"/>
              </w:rPr>
              <w:t>n</w:t>
            </w:r>
            <w:r>
              <w:rPr>
                <w:rFonts w:cs="Segoe UI"/>
                <w:szCs w:val="20"/>
              </w:rPr>
              <w:t xml:space="preserve"> the Tag ITR Report List</w:t>
            </w:r>
          </w:p>
        </w:tc>
        <w:tc>
          <w:tcPr>
            <w:tcW w:w="6639" w:type="dxa"/>
          </w:tcPr>
          <w:p w14:paraId="402E1E07" w14:textId="1DA24B4E" w:rsidR="004710DD" w:rsidRDefault="004710DD" w:rsidP="0021625B">
            <w:pPr>
              <w:jc w:val="left"/>
              <w:rPr>
                <w:rFonts w:cs="Segoe UI"/>
                <w:szCs w:val="20"/>
              </w:rPr>
            </w:pPr>
            <w:r>
              <w:rPr>
                <w:rFonts w:cs="Segoe UI"/>
                <w:szCs w:val="20"/>
              </w:rPr>
              <w:t>When creating a Tag ITR Detailed Report a list of available sign offs is shown.  This list included any previously created Date field even if the date field was never used in the Project.</w:t>
            </w:r>
          </w:p>
          <w:p w14:paraId="3001E6A6" w14:textId="4C5E453E" w:rsidR="004710DD" w:rsidRDefault="004710DD" w:rsidP="0021625B">
            <w:pPr>
              <w:jc w:val="left"/>
              <w:rPr>
                <w:rFonts w:cs="Segoe UI"/>
                <w:szCs w:val="20"/>
              </w:rPr>
            </w:pPr>
            <w:r>
              <w:rPr>
                <w:rFonts w:cs="Segoe UI"/>
                <w:szCs w:val="20"/>
              </w:rPr>
              <w:t>This has now been fixed so only actively used Dates appear on the List.</w:t>
            </w:r>
          </w:p>
        </w:tc>
      </w:tr>
      <w:tr w:rsidR="003B052A" w:rsidRPr="00F426FD" w14:paraId="3C8E51A7" w14:textId="77777777" w:rsidTr="00F95316">
        <w:tc>
          <w:tcPr>
            <w:tcW w:w="841" w:type="dxa"/>
          </w:tcPr>
          <w:p w14:paraId="29502EE5" w14:textId="7A3FC328" w:rsidR="003B052A" w:rsidRDefault="003B052A" w:rsidP="0021625B">
            <w:pPr>
              <w:jc w:val="left"/>
              <w:rPr>
                <w:rFonts w:cs="Segoe UI"/>
                <w:szCs w:val="20"/>
              </w:rPr>
            </w:pPr>
            <w:r w:rsidRPr="003B052A">
              <w:rPr>
                <w:rFonts w:cs="Segoe UI"/>
                <w:szCs w:val="20"/>
              </w:rPr>
              <w:t>66188</w:t>
            </w:r>
          </w:p>
        </w:tc>
        <w:tc>
          <w:tcPr>
            <w:tcW w:w="2551" w:type="dxa"/>
          </w:tcPr>
          <w:p w14:paraId="0423BDBE" w14:textId="7A141F19" w:rsidR="003B052A" w:rsidRDefault="003B052A" w:rsidP="0021625B">
            <w:pPr>
              <w:jc w:val="left"/>
              <w:rPr>
                <w:rFonts w:cs="Segoe UI"/>
                <w:szCs w:val="20"/>
              </w:rPr>
            </w:pPr>
            <w:r>
              <w:rPr>
                <w:rFonts w:cs="Segoe UI"/>
                <w:szCs w:val="20"/>
              </w:rPr>
              <w:t>Source Drawing Search Filter Missing from Tagged Item Search Pages</w:t>
            </w:r>
          </w:p>
        </w:tc>
        <w:tc>
          <w:tcPr>
            <w:tcW w:w="6639" w:type="dxa"/>
          </w:tcPr>
          <w:p w14:paraId="7C66D7CB" w14:textId="5395F509" w:rsidR="003B052A" w:rsidRDefault="003B052A" w:rsidP="0021625B">
            <w:pPr>
              <w:jc w:val="left"/>
              <w:rPr>
                <w:rFonts w:cs="Segoe UI"/>
                <w:szCs w:val="20"/>
              </w:rPr>
            </w:pPr>
            <w:r>
              <w:rPr>
                <w:rFonts w:cs="Segoe UI"/>
                <w:szCs w:val="20"/>
              </w:rPr>
              <w:t xml:space="preserve">During the last release the Source Drawing search filter was mistakenly removed from all the Tagged Item Search pages.  </w:t>
            </w:r>
          </w:p>
          <w:p w14:paraId="6A32DE7D" w14:textId="54E12507" w:rsidR="003B052A" w:rsidRDefault="003B052A" w:rsidP="0021625B">
            <w:pPr>
              <w:jc w:val="left"/>
              <w:rPr>
                <w:rFonts w:cs="Segoe UI"/>
                <w:szCs w:val="20"/>
              </w:rPr>
            </w:pPr>
            <w:r>
              <w:rPr>
                <w:rFonts w:cs="Segoe UI"/>
                <w:szCs w:val="20"/>
              </w:rPr>
              <w:t>The search filter has now been restored.</w:t>
            </w:r>
          </w:p>
        </w:tc>
      </w:tr>
    </w:tbl>
    <w:p w14:paraId="316CA44B" w14:textId="77777777" w:rsidR="00522A9A" w:rsidRDefault="00522A9A" w:rsidP="00046AE9">
      <w:pPr>
        <w:pStyle w:val="Heading1"/>
        <w:numPr>
          <w:ilvl w:val="0"/>
          <w:numId w:val="0"/>
        </w:numPr>
        <w:ind w:left="567"/>
      </w:pPr>
      <w:bookmarkStart w:id="5" w:name="_Toc517953900"/>
    </w:p>
    <w:p w14:paraId="2FE7B068" w14:textId="77777777" w:rsidR="00E85C73" w:rsidRDefault="00A83E28" w:rsidP="00046AE9">
      <w:pPr>
        <w:pStyle w:val="Heading1"/>
      </w:pPr>
      <w:r>
        <w:t>Known</w:t>
      </w:r>
      <w:r w:rsidR="00144332">
        <w:t xml:space="preserve"> Issues</w:t>
      </w:r>
      <w:bookmarkEnd w:id="5"/>
    </w:p>
    <w:p w14:paraId="6667537B" w14:textId="77777777"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bookmarkStart w:id="6" w:name="_Toc517953901"/>
    </w:p>
    <w:p w14:paraId="24FA7D63" w14:textId="77777777" w:rsidR="00CF0179" w:rsidRDefault="00CF0179">
      <w:pPr>
        <w:spacing w:after="0" w:line="240" w:lineRule="auto"/>
        <w:jc w:val="left"/>
        <w:rPr>
          <w:rFonts w:eastAsia="Times New Roman" w:cs="Segoe UI"/>
          <w:b/>
          <w:snapToGrid w:val="0"/>
          <w:sz w:val="28"/>
          <w:szCs w:val="32"/>
        </w:rPr>
      </w:pPr>
    </w:p>
    <w:p w14:paraId="38A9016D" w14:textId="77777777" w:rsidR="00E85C73" w:rsidRDefault="00144332" w:rsidP="00046AE9">
      <w:pPr>
        <w:pStyle w:val="Heading1"/>
      </w:pPr>
      <w:r>
        <w:t>Features</w:t>
      </w:r>
      <w:bookmarkEnd w:id="6"/>
    </w:p>
    <w:p w14:paraId="46A890DB" w14:textId="4503804F" w:rsidR="00300D2F" w:rsidRDefault="00300D2F" w:rsidP="00300D2F">
      <w:bookmarkStart w:id="7" w:name="_Toc517953902"/>
      <w:r>
        <w:t>The following functionality</w:t>
      </w:r>
      <w:r w:rsidR="007E5258">
        <w:t xml:space="preserve"> has been added in v1.</w:t>
      </w:r>
      <w:r w:rsidR="00046AE9">
        <w:t>28</w:t>
      </w:r>
      <w:r>
        <w:t>:</w:t>
      </w:r>
    </w:p>
    <w:p w14:paraId="4BCA0EBB" w14:textId="464B4406" w:rsidR="00D145EF" w:rsidRDefault="00D27AEF" w:rsidP="00D145EF">
      <w:pPr>
        <w:pStyle w:val="ListParagraph"/>
        <w:numPr>
          <w:ilvl w:val="0"/>
          <w:numId w:val="5"/>
        </w:numPr>
      </w:pPr>
      <w:bookmarkStart w:id="8" w:name="_Hlk520127587"/>
      <w:r>
        <w:t>Preservation Skyline</w:t>
      </w:r>
    </w:p>
    <w:p w14:paraId="21A3E85D" w14:textId="61C017AB" w:rsidR="008035A4" w:rsidRDefault="00D27AEF" w:rsidP="00D145EF">
      <w:pPr>
        <w:pStyle w:val="ListParagraph"/>
        <w:numPr>
          <w:ilvl w:val="0"/>
          <w:numId w:val="5"/>
        </w:numPr>
      </w:pPr>
      <w:r>
        <w:t>Preservation S-Curve</w:t>
      </w:r>
    </w:p>
    <w:p w14:paraId="2158DF27" w14:textId="069900EA" w:rsidR="00597585" w:rsidRDefault="009714DB" w:rsidP="00597585">
      <w:pPr>
        <w:pStyle w:val="ListParagraph"/>
        <w:numPr>
          <w:ilvl w:val="0"/>
          <w:numId w:val="5"/>
        </w:numPr>
      </w:pPr>
      <w:r>
        <w:t>Tag PWL Assignment</w:t>
      </w:r>
    </w:p>
    <w:p w14:paraId="471778A4" w14:textId="606E3610" w:rsidR="00597585" w:rsidRPr="00597585" w:rsidRDefault="00597585" w:rsidP="00597585">
      <w:pPr>
        <w:pStyle w:val="ListParagraph"/>
        <w:numPr>
          <w:ilvl w:val="0"/>
          <w:numId w:val="5"/>
        </w:numPr>
      </w:pPr>
      <w:r w:rsidRPr="00597585">
        <w:t>Tag PWL Look Ahead: Include Sign Off Tag PWLs</w:t>
      </w:r>
    </w:p>
    <w:p w14:paraId="764BBDBF" w14:textId="712BB3DD" w:rsidR="00D27AEF" w:rsidRDefault="00D27AEF" w:rsidP="00D27AEF">
      <w:pPr>
        <w:pStyle w:val="Heading2"/>
      </w:pPr>
      <w:r>
        <w:lastRenderedPageBreak/>
        <w:t>Preservation Skyline</w:t>
      </w:r>
    </w:p>
    <w:p w14:paraId="52BB4EA8" w14:textId="77777777" w:rsidR="00D27AEF" w:rsidRDefault="00D27AEF" w:rsidP="00D27AEF">
      <w:pPr>
        <w:jc w:val="center"/>
        <w:rPr>
          <w:b/>
        </w:rPr>
      </w:pPr>
      <w:r w:rsidRPr="008035A4">
        <w:rPr>
          <w:b/>
          <w:noProof/>
        </w:rPr>
        <w:drawing>
          <wp:inline distT="0" distB="0" distL="0" distR="0" wp14:anchorId="3825FF20" wp14:editId="1C456189">
            <wp:extent cx="5048250" cy="3201420"/>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8836" cy="3227158"/>
                    </a:xfrm>
                    <a:prstGeom prst="rect">
                      <a:avLst/>
                    </a:prstGeom>
                    <a:ln>
                      <a:solidFill>
                        <a:schemeClr val="accent1"/>
                      </a:solidFill>
                    </a:ln>
                  </pic:spPr>
                </pic:pic>
              </a:graphicData>
            </a:graphic>
          </wp:inline>
        </w:drawing>
      </w:r>
    </w:p>
    <w:p w14:paraId="76C5700D" w14:textId="75690CB9" w:rsidR="00D27AEF" w:rsidRDefault="00403F18" w:rsidP="00D27AEF">
      <w:pPr>
        <w:pStyle w:val="Figure"/>
      </w:pPr>
      <w:r>
        <w:t>Screenshot of the new Preservation Skyline</w:t>
      </w:r>
    </w:p>
    <w:p w14:paraId="28B40019" w14:textId="66EC765F" w:rsidR="003038FD" w:rsidRDefault="00B73CB6" w:rsidP="00D27AEF">
      <w:r>
        <w:t xml:space="preserve">A Skyline Report can now be generated for Preservation. This can be </w:t>
      </w:r>
      <w:r w:rsidR="00403F18">
        <w:t>viewed</w:t>
      </w:r>
      <w:r>
        <w:t xml:space="preserve"> on-screen by accessing the Report -&gt; Skyline menu, and then selecting “Tag PWL” for the Report Group. </w:t>
      </w:r>
    </w:p>
    <w:p w14:paraId="1D5B8C17" w14:textId="00ECC6F4" w:rsidR="00B73CB6" w:rsidRDefault="003038FD" w:rsidP="00D27AEF">
      <w:r>
        <w:t>All Skylines, including the existing Handover Skylines, can now be generated as PDFs from this page by using the “Download” button.</w:t>
      </w:r>
    </w:p>
    <w:p w14:paraId="0F688794" w14:textId="3218EA99" w:rsidR="00D27AEF" w:rsidRDefault="003038FD" w:rsidP="00D27AEF">
      <w:r>
        <w:t xml:space="preserve">The Preservation Skyline </w:t>
      </w:r>
      <w:r w:rsidR="00B73CB6">
        <w:t>can also be found under the Report -&gt; Report List menu, where filters can be applied before downloading the report as a PDF.</w:t>
      </w:r>
    </w:p>
    <w:p w14:paraId="750440EF" w14:textId="77777777" w:rsidR="00D27AEF" w:rsidRDefault="00D27AEF" w:rsidP="00D27AEF"/>
    <w:p w14:paraId="6E6884B7" w14:textId="58C74E19" w:rsidR="00D27AEF" w:rsidRDefault="00D27AEF" w:rsidP="00D27AEF">
      <w:pPr>
        <w:pStyle w:val="Heading2"/>
      </w:pPr>
      <w:r>
        <w:lastRenderedPageBreak/>
        <w:t>Preservation S-Curve</w:t>
      </w:r>
    </w:p>
    <w:p w14:paraId="3AB847BB" w14:textId="16E2E2EA" w:rsidR="00D27AEF" w:rsidRDefault="007052BE" w:rsidP="00D27AEF">
      <w:pPr>
        <w:jc w:val="center"/>
        <w:rPr>
          <w:b/>
        </w:rPr>
      </w:pPr>
      <w:r>
        <w:rPr>
          <w:noProof/>
        </w:rPr>
        <w:drawing>
          <wp:inline distT="0" distB="0" distL="0" distR="0" wp14:anchorId="5110CF8D" wp14:editId="40CD1672">
            <wp:extent cx="6120130" cy="381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816350"/>
                    </a:xfrm>
                    <a:prstGeom prst="rect">
                      <a:avLst/>
                    </a:prstGeom>
                  </pic:spPr>
                </pic:pic>
              </a:graphicData>
            </a:graphic>
          </wp:inline>
        </w:drawing>
      </w:r>
    </w:p>
    <w:p w14:paraId="4AA4B676" w14:textId="0E2F2D90" w:rsidR="00D27AEF" w:rsidRDefault="00D27AEF" w:rsidP="00D27AEF">
      <w:pPr>
        <w:pStyle w:val="Figure"/>
      </w:pPr>
      <w:r>
        <w:t xml:space="preserve">Screenshot </w:t>
      </w:r>
      <w:r w:rsidR="007052BE">
        <w:t>of Preservation S Curve</w:t>
      </w:r>
    </w:p>
    <w:p w14:paraId="2BF8AB6E" w14:textId="037E0E53" w:rsidR="00D27AEF" w:rsidRDefault="007052BE" w:rsidP="00D27AEF">
      <w:r>
        <w:t>Preservation Due Date vs Completed Date S curve report is added to the existing list of Planned Vs Actual reports. Since preservation tasks are</w:t>
      </w:r>
      <w:r w:rsidR="006D3231">
        <w:t xml:space="preserve"> periodic and </w:t>
      </w:r>
      <w:r>
        <w:t xml:space="preserve">planned into future, </w:t>
      </w:r>
      <w:r w:rsidR="006D3231">
        <w:t xml:space="preserve">From Date and To Date filters are added to the report. To Date is a mandatory filter and is defaulted to a month later than today. </w:t>
      </w:r>
    </w:p>
    <w:p w14:paraId="6A7E8823" w14:textId="77777777" w:rsidR="006D3231" w:rsidRDefault="006D3231" w:rsidP="00D27AEF"/>
    <w:p w14:paraId="283115B6" w14:textId="703AC71F" w:rsidR="009714DB" w:rsidRDefault="009714DB" w:rsidP="009714DB">
      <w:pPr>
        <w:pStyle w:val="Heading2"/>
      </w:pPr>
      <w:r>
        <w:t>Tag PWL Assignment</w:t>
      </w:r>
    </w:p>
    <w:p w14:paraId="19F5E155" w14:textId="46CAFA3A" w:rsidR="003C1CB8" w:rsidRDefault="003C1CB8" w:rsidP="003C1CB8">
      <w:r>
        <w:rPr>
          <w:noProof/>
        </w:rPr>
        <w:drawing>
          <wp:inline distT="0" distB="0" distL="0" distR="0" wp14:anchorId="10751A72" wp14:editId="6E6228FA">
            <wp:extent cx="6120130" cy="2032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edToPanel.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032635"/>
                    </a:xfrm>
                    <a:prstGeom prst="rect">
                      <a:avLst/>
                    </a:prstGeom>
                  </pic:spPr>
                </pic:pic>
              </a:graphicData>
            </a:graphic>
          </wp:inline>
        </w:drawing>
      </w:r>
    </w:p>
    <w:p w14:paraId="73EE6333" w14:textId="5F93B7A9" w:rsidR="003C1CB8" w:rsidRPr="003C1CB8" w:rsidRDefault="003C1CB8" w:rsidP="003C1CB8">
      <w:pPr>
        <w:pStyle w:val="Figure"/>
      </w:pPr>
      <w:r>
        <w:t>Assignment Panel on Tag PWL View scren</w:t>
      </w:r>
    </w:p>
    <w:p w14:paraId="490D5C8F" w14:textId="2A8FF3F9" w:rsidR="009714DB" w:rsidRDefault="009714DB" w:rsidP="009714DB">
      <w:r>
        <w:lastRenderedPageBreak/>
        <w:t>Tag PWLs can now be assigned to Authorised Persons, with the user being notified once it has been assigned to them. An Assignment panel has also been added to the Tag PWL View page, showing wh</w:t>
      </w:r>
      <w:r w:rsidR="001B402F">
        <w:t>o the Tag PWL is assigned to and allowing the Assigned To user to be set.</w:t>
      </w:r>
    </w:p>
    <w:p w14:paraId="756B3C6C" w14:textId="2DF9EB67" w:rsidR="00597585" w:rsidRDefault="00597585" w:rsidP="009714DB"/>
    <w:p w14:paraId="59B4E515" w14:textId="0BC9F4F8" w:rsidR="00597585" w:rsidRDefault="00597585" w:rsidP="00597585">
      <w:pPr>
        <w:pStyle w:val="Heading2"/>
      </w:pPr>
      <w:r>
        <w:t xml:space="preserve">Tag PWL Look </w:t>
      </w:r>
      <w:r w:rsidR="00CF1499">
        <w:t>Ahead:</w:t>
      </w:r>
      <w:r>
        <w:t xml:space="preserve"> Include Sign Off Tag PWLs</w:t>
      </w:r>
    </w:p>
    <w:p w14:paraId="471B69D6" w14:textId="77777777" w:rsidR="00597585" w:rsidRDefault="00597585" w:rsidP="00597585">
      <w:r w:rsidRPr="00597585">
        <w:rPr>
          <w:noProof/>
        </w:rPr>
        <w:drawing>
          <wp:inline distT="0" distB="0" distL="0" distR="0" wp14:anchorId="5EC6856D" wp14:editId="5B0FC888">
            <wp:extent cx="6120130" cy="1814195"/>
            <wp:effectExtent l="19050" t="19050" r="1397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814195"/>
                    </a:xfrm>
                    <a:prstGeom prst="rect">
                      <a:avLst/>
                    </a:prstGeom>
                    <a:ln>
                      <a:solidFill>
                        <a:schemeClr val="accent1"/>
                      </a:solidFill>
                    </a:ln>
                  </pic:spPr>
                </pic:pic>
              </a:graphicData>
            </a:graphic>
          </wp:inline>
        </w:drawing>
      </w:r>
    </w:p>
    <w:p w14:paraId="0F637EA8" w14:textId="3FFACF80" w:rsidR="00597585" w:rsidRDefault="00597585" w:rsidP="00597585">
      <w:pPr>
        <w:pStyle w:val="Figure"/>
      </w:pPr>
      <w:r>
        <w:t>Screenshot of the Search Results of the Tag PWL Lookahead Page</w:t>
      </w:r>
    </w:p>
    <w:p w14:paraId="7AD87470" w14:textId="77777777" w:rsidR="003B052A" w:rsidRDefault="003B052A" w:rsidP="00597585"/>
    <w:p w14:paraId="5EF1DBF8" w14:textId="5C566E75" w:rsidR="00597585" w:rsidRDefault="00597585" w:rsidP="00597585">
      <w:r>
        <w:t>The Tag PWL Look Ahead page has been edited so it now shows all Tag PWL including those that have been signed off. This allows the page to now show the full history of a Tag PWL and show all work that will be and has been completed in each time period (i.e. Month).</w:t>
      </w:r>
    </w:p>
    <w:p w14:paraId="5B93E2C8" w14:textId="7D09E72E" w:rsidR="00597585" w:rsidRDefault="00597585" w:rsidP="00597585">
      <w:r>
        <w:t>To make it easier to see items that have been completed the Signed Off Data is not included in the search results, and a filter has been added to search by signed off date including those items that are not signed off.</w:t>
      </w:r>
    </w:p>
    <w:p w14:paraId="14270418" w14:textId="13F72A7C" w:rsidR="00597585" w:rsidRDefault="00597585" w:rsidP="00597585">
      <w:r>
        <w:t>To run the old search the user can search for all items that are not signed off.</w:t>
      </w:r>
    </w:p>
    <w:p w14:paraId="0C258761" w14:textId="2CC912AE" w:rsidR="00597585" w:rsidRDefault="00597585" w:rsidP="00597585">
      <w:pPr>
        <w:jc w:val="center"/>
      </w:pPr>
      <w:r w:rsidRPr="00597585">
        <w:rPr>
          <w:noProof/>
        </w:rPr>
        <w:drawing>
          <wp:inline distT="0" distB="0" distL="0" distR="0" wp14:anchorId="6594EAA8" wp14:editId="2DBDC078">
            <wp:extent cx="2769870" cy="800185"/>
            <wp:effectExtent l="19050" t="19050" r="1143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8642" cy="802719"/>
                    </a:xfrm>
                    <a:prstGeom prst="rect">
                      <a:avLst/>
                    </a:prstGeom>
                    <a:ln>
                      <a:solidFill>
                        <a:schemeClr val="accent1"/>
                      </a:solidFill>
                    </a:ln>
                  </pic:spPr>
                </pic:pic>
              </a:graphicData>
            </a:graphic>
          </wp:inline>
        </w:drawing>
      </w:r>
    </w:p>
    <w:p w14:paraId="5C4D7745" w14:textId="2BD01E35" w:rsidR="00597585" w:rsidRDefault="00597585" w:rsidP="00F8687C">
      <w:pPr>
        <w:pStyle w:val="Figure"/>
      </w:pPr>
      <w:r>
        <w:t>Filter for Signed Off Date with Not Signed Off Selected</w:t>
      </w:r>
    </w:p>
    <w:p w14:paraId="2DB7FF0B" w14:textId="77777777" w:rsidR="003B052A" w:rsidRDefault="003B052A">
      <w:pPr>
        <w:spacing w:after="0" w:line="240" w:lineRule="auto"/>
        <w:jc w:val="left"/>
        <w:rPr>
          <w:rFonts w:eastAsia="Times New Roman" w:cs="Segoe UI"/>
          <w:b/>
          <w:snapToGrid w:val="0"/>
          <w:sz w:val="24"/>
          <w:szCs w:val="32"/>
        </w:rPr>
      </w:pPr>
      <w:r>
        <w:br w:type="page"/>
      </w:r>
    </w:p>
    <w:p w14:paraId="2815F5C1" w14:textId="5CF7E924" w:rsidR="006E3E4E" w:rsidRPr="006E3E4E" w:rsidRDefault="006E3E4E" w:rsidP="00046AE9">
      <w:pPr>
        <w:pStyle w:val="Heading1"/>
        <w:rPr>
          <w:rFonts w:asciiTheme="minorHAnsi" w:eastAsiaTheme="minorHAnsi" w:hAnsiTheme="minorHAnsi" w:cstheme="minorBidi"/>
        </w:rPr>
      </w:pPr>
      <w:r>
        <w:lastRenderedPageBreak/>
        <w:t>Companion App Features</w:t>
      </w:r>
    </w:p>
    <w:p w14:paraId="6D81A8E7" w14:textId="2723D0A8" w:rsidR="00F533B0" w:rsidRDefault="00F533B0" w:rsidP="00F533B0">
      <w:r>
        <w:t>Version 1.</w:t>
      </w:r>
      <w:r w:rsidR="00046AE9">
        <w:t>3</w:t>
      </w:r>
      <w:r>
        <w:t xml:space="preserve"> of our GoTechnology hub2 Companion Application has also been released alongside GoTechnology hub2 v1.</w:t>
      </w:r>
      <w:r w:rsidR="00046AE9">
        <w:t>28</w:t>
      </w:r>
      <w:r>
        <w:t>.  The following new functionality has been added to the App.</w:t>
      </w:r>
    </w:p>
    <w:p w14:paraId="2239A42D" w14:textId="3930AD92" w:rsidR="00F533B0" w:rsidRDefault="00046AE9" w:rsidP="00F533B0">
      <w:pPr>
        <w:pStyle w:val="ListParagraph"/>
        <w:numPr>
          <w:ilvl w:val="0"/>
          <w:numId w:val="13"/>
        </w:numPr>
      </w:pPr>
      <w:r>
        <w:t>Task Result Images – Camera &amp; Gallery</w:t>
      </w:r>
    </w:p>
    <w:p w14:paraId="185C0860" w14:textId="2A04C10C" w:rsidR="00F533B0" w:rsidRDefault="00046AE9" w:rsidP="00F533B0">
      <w:pPr>
        <w:pStyle w:val="ListParagraph"/>
        <w:numPr>
          <w:ilvl w:val="0"/>
          <w:numId w:val="13"/>
        </w:numPr>
      </w:pPr>
      <w:r>
        <w:t>Tag PWL Digital Documents</w:t>
      </w:r>
    </w:p>
    <w:p w14:paraId="136EBE08" w14:textId="58F73BFC" w:rsidR="00046AE9" w:rsidRDefault="00046AE9" w:rsidP="00F533B0">
      <w:pPr>
        <w:pStyle w:val="ListParagraph"/>
        <w:numPr>
          <w:ilvl w:val="0"/>
          <w:numId w:val="13"/>
        </w:numPr>
      </w:pPr>
      <w:r>
        <w:t>Digital Document Header Tables</w:t>
      </w:r>
    </w:p>
    <w:p w14:paraId="1DB9FCEE" w14:textId="77777777" w:rsidR="00F533B0" w:rsidRDefault="00F533B0" w:rsidP="00F533B0">
      <w:r>
        <w:t>The application can be downloaded from the App Store or the Google Play Store at the following links</w:t>
      </w:r>
    </w:p>
    <w:p w14:paraId="0328F6D4" w14:textId="77777777" w:rsidR="00F533B0" w:rsidRDefault="00F533B0" w:rsidP="00F533B0">
      <w:pPr>
        <w:pStyle w:val="ListParagraph"/>
        <w:numPr>
          <w:ilvl w:val="0"/>
          <w:numId w:val="14"/>
        </w:numPr>
      </w:pPr>
      <w:r>
        <w:t xml:space="preserve">Apple: </w:t>
      </w:r>
      <w:hyperlink r:id="rId17" w:history="1">
        <w:r>
          <w:rPr>
            <w:rStyle w:val="Hyperlink"/>
          </w:rPr>
          <w:t>https://apps.apple.com/us/app/gotechnology-companion-app/id1485718605</w:t>
        </w:r>
      </w:hyperlink>
    </w:p>
    <w:p w14:paraId="5591D79D" w14:textId="7A571AA8" w:rsidR="00F533B0" w:rsidRPr="00046AE9" w:rsidRDefault="00F533B0" w:rsidP="00F533B0">
      <w:pPr>
        <w:pStyle w:val="ListParagraph"/>
        <w:numPr>
          <w:ilvl w:val="0"/>
          <w:numId w:val="14"/>
        </w:numPr>
        <w:rPr>
          <w:rStyle w:val="Hyperlink"/>
          <w:color w:val="auto"/>
          <w:u w:val="none"/>
        </w:rPr>
      </w:pPr>
      <w:r>
        <w:t xml:space="preserve">Google: </w:t>
      </w:r>
      <w:hyperlink r:id="rId18" w:history="1">
        <w:r>
          <w:rPr>
            <w:rStyle w:val="Hyperlink"/>
          </w:rPr>
          <w:t>https://play.google.com/store/apps/details?id=com.wcs.hub2DigitalDocuments&amp;hl=en_GB</w:t>
        </w:r>
      </w:hyperlink>
    </w:p>
    <w:p w14:paraId="7AA68DEC" w14:textId="7F9909A4" w:rsidR="00046AE9" w:rsidRDefault="00046AE9" w:rsidP="00046AE9">
      <w:pPr>
        <w:pStyle w:val="Heading2"/>
      </w:pPr>
      <w:r>
        <w:t>Task Result Images</w:t>
      </w:r>
    </w:p>
    <w:p w14:paraId="74CD1C18" w14:textId="74E73965" w:rsidR="00046AE9" w:rsidRDefault="00046AE9" w:rsidP="00046AE9">
      <w:pPr>
        <w:jc w:val="center"/>
        <w:rPr>
          <w:b/>
        </w:rPr>
      </w:pPr>
      <w:r w:rsidRPr="008035A4">
        <w:rPr>
          <w:b/>
          <w:noProof/>
        </w:rPr>
        <w:drawing>
          <wp:inline distT="0" distB="0" distL="0" distR="0" wp14:anchorId="6FEBDB1B" wp14:editId="3E72FC42">
            <wp:extent cx="1512013" cy="2581871"/>
            <wp:effectExtent l="19050" t="19050" r="1206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12013" cy="2581871"/>
                    </a:xfrm>
                    <a:prstGeom prst="rect">
                      <a:avLst/>
                    </a:prstGeom>
                    <a:ln>
                      <a:solidFill>
                        <a:schemeClr val="accent1"/>
                      </a:solidFill>
                    </a:ln>
                  </pic:spPr>
                </pic:pic>
              </a:graphicData>
            </a:graphic>
          </wp:inline>
        </w:drawing>
      </w:r>
      <w:r w:rsidR="009B062C" w:rsidRPr="008035A4">
        <w:rPr>
          <w:b/>
          <w:noProof/>
        </w:rPr>
        <w:drawing>
          <wp:inline distT="0" distB="0" distL="0" distR="0" wp14:anchorId="63CEC2C0" wp14:editId="36594B0E">
            <wp:extent cx="1488646" cy="2581871"/>
            <wp:effectExtent l="19050" t="19050" r="1651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8646" cy="2581871"/>
                    </a:xfrm>
                    <a:prstGeom prst="rect">
                      <a:avLst/>
                    </a:prstGeom>
                    <a:ln>
                      <a:solidFill>
                        <a:schemeClr val="accent1"/>
                      </a:solidFill>
                    </a:ln>
                  </pic:spPr>
                </pic:pic>
              </a:graphicData>
            </a:graphic>
          </wp:inline>
        </w:drawing>
      </w:r>
      <w:r w:rsidR="009B062C" w:rsidRPr="008035A4">
        <w:rPr>
          <w:b/>
          <w:noProof/>
        </w:rPr>
        <w:drawing>
          <wp:inline distT="0" distB="0" distL="0" distR="0" wp14:anchorId="5967DD4E" wp14:editId="71492529">
            <wp:extent cx="1478915" cy="2600287"/>
            <wp:effectExtent l="19050" t="19050" r="2603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78915" cy="2600287"/>
                    </a:xfrm>
                    <a:prstGeom prst="rect">
                      <a:avLst/>
                    </a:prstGeom>
                    <a:ln>
                      <a:solidFill>
                        <a:schemeClr val="accent1"/>
                      </a:solidFill>
                    </a:ln>
                  </pic:spPr>
                </pic:pic>
              </a:graphicData>
            </a:graphic>
          </wp:inline>
        </w:drawing>
      </w:r>
    </w:p>
    <w:p w14:paraId="7BBBB688" w14:textId="05DE61E7" w:rsidR="00046AE9" w:rsidRDefault="009B062C" w:rsidP="00046AE9">
      <w:pPr>
        <w:pStyle w:val="Figure"/>
      </w:pPr>
      <w:r>
        <w:t>Left: View, Camera, Gallery image buttons. Centre: Select from Gallery. Right: View Images</w:t>
      </w:r>
      <w:r w:rsidR="00046AE9">
        <w:t xml:space="preserve"> </w:t>
      </w:r>
    </w:p>
    <w:p w14:paraId="2D13D0C4" w14:textId="766003B9" w:rsidR="00046AE9" w:rsidRDefault="00D44DB7" w:rsidP="00046AE9">
      <w:r>
        <w:rPr>
          <w:rFonts w:cs="Segoe UI"/>
          <w:color w:val="000000"/>
          <w:sz w:val="21"/>
          <w:szCs w:val="21"/>
          <w:shd w:val="clear" w:color="auto" w:fill="FFFFFF"/>
        </w:rPr>
        <w:t>The ability to view and add images to Task</w:t>
      </w:r>
      <w:r w:rsidR="001E30D7">
        <w:rPr>
          <w:rFonts w:cs="Segoe UI"/>
          <w:color w:val="000000"/>
          <w:sz w:val="21"/>
          <w:szCs w:val="21"/>
          <w:shd w:val="clear" w:color="auto" w:fill="FFFFFF"/>
        </w:rPr>
        <w:t xml:space="preserve"> Results</w:t>
      </w:r>
      <w:r>
        <w:rPr>
          <w:rFonts w:cs="Segoe UI"/>
          <w:color w:val="000000"/>
          <w:sz w:val="21"/>
          <w:szCs w:val="21"/>
          <w:shd w:val="clear" w:color="auto" w:fill="FFFFFF"/>
        </w:rPr>
        <w:t xml:space="preserve"> of Digital Document</w:t>
      </w:r>
      <w:r w:rsidR="001E30D7">
        <w:rPr>
          <w:rFonts w:cs="Segoe UI"/>
          <w:color w:val="000000"/>
          <w:sz w:val="21"/>
          <w:szCs w:val="21"/>
          <w:shd w:val="clear" w:color="auto" w:fill="FFFFFF"/>
        </w:rPr>
        <w:t>s for both Tag ITRs and Tag PWLs</w:t>
      </w:r>
      <w:r>
        <w:rPr>
          <w:rFonts w:cs="Segoe UI"/>
          <w:color w:val="000000"/>
          <w:sz w:val="21"/>
          <w:szCs w:val="21"/>
          <w:shd w:val="clear" w:color="auto" w:fill="FFFFFF"/>
        </w:rPr>
        <w:t>. An image can be captured by a device's camera or can be selected from the device's gallery.</w:t>
      </w:r>
    </w:p>
    <w:p w14:paraId="6F3F279A" w14:textId="64DF31F5" w:rsidR="00046AE9" w:rsidRDefault="00046AE9" w:rsidP="00046AE9"/>
    <w:p w14:paraId="618C7D50" w14:textId="149FACF0" w:rsidR="00046AE9" w:rsidRDefault="00046AE9" w:rsidP="00046AE9">
      <w:pPr>
        <w:pStyle w:val="Heading2"/>
      </w:pPr>
      <w:r>
        <w:lastRenderedPageBreak/>
        <w:t>Tag PWL Digital Documents</w:t>
      </w:r>
    </w:p>
    <w:p w14:paraId="5D4F1A8F" w14:textId="539BD877" w:rsidR="00046AE9" w:rsidRDefault="00046AE9" w:rsidP="00046AE9">
      <w:pPr>
        <w:jc w:val="center"/>
        <w:rPr>
          <w:b/>
        </w:rPr>
      </w:pPr>
      <w:r w:rsidRPr="008035A4">
        <w:rPr>
          <w:b/>
          <w:noProof/>
        </w:rPr>
        <w:drawing>
          <wp:inline distT="0" distB="0" distL="0" distR="0" wp14:anchorId="35C2A22A" wp14:editId="10F45F47">
            <wp:extent cx="1493741" cy="2581871"/>
            <wp:effectExtent l="19050" t="19050" r="1143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93741" cy="2581871"/>
                    </a:xfrm>
                    <a:prstGeom prst="rect">
                      <a:avLst/>
                    </a:prstGeom>
                    <a:ln>
                      <a:solidFill>
                        <a:schemeClr val="accent1"/>
                      </a:solidFill>
                    </a:ln>
                  </pic:spPr>
                </pic:pic>
              </a:graphicData>
            </a:graphic>
          </wp:inline>
        </w:drawing>
      </w:r>
      <w:r w:rsidR="0019593D" w:rsidRPr="008035A4">
        <w:rPr>
          <w:b/>
          <w:noProof/>
        </w:rPr>
        <w:drawing>
          <wp:inline distT="0" distB="0" distL="0" distR="0" wp14:anchorId="1CCC1D55" wp14:editId="29F3F5B9">
            <wp:extent cx="1492250" cy="2585451"/>
            <wp:effectExtent l="19050" t="19050" r="1270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93780" cy="2588102"/>
                    </a:xfrm>
                    <a:prstGeom prst="rect">
                      <a:avLst/>
                    </a:prstGeom>
                    <a:ln>
                      <a:solidFill>
                        <a:schemeClr val="accent1"/>
                      </a:solidFill>
                    </a:ln>
                  </pic:spPr>
                </pic:pic>
              </a:graphicData>
            </a:graphic>
          </wp:inline>
        </w:drawing>
      </w:r>
    </w:p>
    <w:p w14:paraId="3EBAD6C9" w14:textId="058856FA" w:rsidR="00046AE9" w:rsidRDefault="009B062C" w:rsidP="00046AE9">
      <w:pPr>
        <w:pStyle w:val="Figure"/>
        <w:numPr>
          <w:ilvl w:val="0"/>
          <w:numId w:val="15"/>
        </w:numPr>
      </w:pPr>
      <w:r>
        <w:t xml:space="preserve">Left: </w:t>
      </w:r>
      <w:r w:rsidR="00D44DB7">
        <w:t>Tag PWL Menu Items</w:t>
      </w:r>
      <w:r>
        <w:t xml:space="preserve">. Right: Tag PWLs </w:t>
      </w:r>
      <w:r w:rsidR="00D44DB7">
        <w:t>List Screen</w:t>
      </w:r>
    </w:p>
    <w:p w14:paraId="20CEBA02" w14:textId="7854BC5C" w:rsidR="00046AE9" w:rsidRDefault="00031889" w:rsidP="00046AE9">
      <w:r>
        <w:t xml:space="preserve">The ability to </w:t>
      </w:r>
      <w:r w:rsidR="0019593D">
        <w:t>download and complete Tag PWL Digital Documents is now available in the Companion App. All existing and new app functionality which was available for Tag ITRs is now also available for Tag PWLs.</w:t>
      </w:r>
      <w:r w:rsidR="008B0571">
        <w:t xml:space="preserve"> To enable Tag PWL Menu items the user will need to logout and login, or switch Level E’s.</w:t>
      </w:r>
    </w:p>
    <w:p w14:paraId="4CBA2CE2" w14:textId="1D58AEB3" w:rsidR="00046AE9" w:rsidRDefault="00046AE9" w:rsidP="00046AE9"/>
    <w:p w14:paraId="6E32BF46" w14:textId="2BE0CDC0" w:rsidR="00046AE9" w:rsidRDefault="00046AE9" w:rsidP="00046AE9"/>
    <w:p w14:paraId="6A421930" w14:textId="6466DB48" w:rsidR="00046AE9" w:rsidRPr="00046AE9" w:rsidRDefault="00046AE9" w:rsidP="00046AE9">
      <w:pPr>
        <w:pStyle w:val="Heading2"/>
      </w:pPr>
      <w:r>
        <w:t>Digital Document Header Tables</w:t>
      </w:r>
    </w:p>
    <w:p w14:paraId="0431620E" w14:textId="6591C54F" w:rsidR="00046AE9" w:rsidRDefault="00046AE9" w:rsidP="00046AE9">
      <w:pPr>
        <w:jc w:val="center"/>
        <w:rPr>
          <w:b/>
        </w:rPr>
      </w:pPr>
      <w:r w:rsidRPr="008035A4">
        <w:rPr>
          <w:b/>
          <w:noProof/>
        </w:rPr>
        <w:drawing>
          <wp:inline distT="0" distB="0" distL="0" distR="0" wp14:anchorId="58D4D3D4" wp14:editId="43908564">
            <wp:extent cx="1497249" cy="2581871"/>
            <wp:effectExtent l="19050" t="19050" r="273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97249" cy="2581871"/>
                    </a:xfrm>
                    <a:prstGeom prst="rect">
                      <a:avLst/>
                    </a:prstGeom>
                    <a:ln>
                      <a:solidFill>
                        <a:schemeClr val="accent1"/>
                      </a:solidFill>
                    </a:ln>
                  </pic:spPr>
                </pic:pic>
              </a:graphicData>
            </a:graphic>
          </wp:inline>
        </w:drawing>
      </w:r>
      <w:r w:rsidR="009B062C" w:rsidRPr="008035A4">
        <w:rPr>
          <w:b/>
          <w:noProof/>
        </w:rPr>
        <w:drawing>
          <wp:inline distT="0" distB="0" distL="0" distR="0" wp14:anchorId="1E7C6E1C" wp14:editId="008073EC">
            <wp:extent cx="3068948" cy="1766264"/>
            <wp:effectExtent l="19050" t="19050" r="1778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98096" cy="1783039"/>
                    </a:xfrm>
                    <a:prstGeom prst="rect">
                      <a:avLst/>
                    </a:prstGeom>
                    <a:ln>
                      <a:solidFill>
                        <a:schemeClr val="accent1"/>
                      </a:solidFill>
                    </a:ln>
                  </pic:spPr>
                </pic:pic>
              </a:graphicData>
            </a:graphic>
          </wp:inline>
        </w:drawing>
      </w:r>
    </w:p>
    <w:p w14:paraId="758B5BC5" w14:textId="50383410" w:rsidR="00046AE9" w:rsidRDefault="009B062C" w:rsidP="00046AE9">
      <w:pPr>
        <w:pStyle w:val="Figure"/>
        <w:numPr>
          <w:ilvl w:val="0"/>
          <w:numId w:val="16"/>
        </w:numPr>
      </w:pPr>
      <w:r>
        <w:t>Left: Header Table view link. Right: Header Table with data in the App.</w:t>
      </w:r>
    </w:p>
    <w:bookmarkEnd w:id="7"/>
    <w:bookmarkEnd w:id="8"/>
    <w:p w14:paraId="176C5BA3" w14:textId="797A703E" w:rsidR="008035A4" w:rsidRDefault="009B062C" w:rsidP="00046AE9">
      <w:pPr>
        <w:pStyle w:val="Heading1"/>
        <w:numPr>
          <w:ilvl w:val="0"/>
          <w:numId w:val="0"/>
        </w:numPr>
      </w:pPr>
      <w:r w:rsidRPr="009B062C">
        <w:rPr>
          <w:rFonts w:eastAsia="Calibri" w:cs="Times New Roman"/>
          <w:b w:val="0"/>
          <w:snapToGrid/>
          <w:sz w:val="20"/>
          <w:szCs w:val="22"/>
          <w:lang w:val="en"/>
        </w:rPr>
        <w:t xml:space="preserve">The ability to view </w:t>
      </w:r>
      <w:r>
        <w:rPr>
          <w:rFonts w:eastAsia="Calibri" w:cs="Times New Roman"/>
          <w:b w:val="0"/>
          <w:snapToGrid/>
          <w:sz w:val="20"/>
          <w:szCs w:val="22"/>
          <w:lang w:val="en"/>
        </w:rPr>
        <w:t>bookmarked H</w:t>
      </w:r>
      <w:r w:rsidRPr="009B062C">
        <w:rPr>
          <w:rFonts w:eastAsia="Calibri" w:cs="Times New Roman"/>
          <w:b w:val="0"/>
          <w:snapToGrid/>
          <w:sz w:val="20"/>
          <w:szCs w:val="22"/>
          <w:lang w:val="en"/>
        </w:rPr>
        <w:t xml:space="preserve">eader </w:t>
      </w:r>
      <w:r>
        <w:rPr>
          <w:rFonts w:eastAsia="Calibri" w:cs="Times New Roman"/>
          <w:b w:val="0"/>
          <w:snapToGrid/>
          <w:sz w:val="20"/>
          <w:szCs w:val="22"/>
          <w:lang w:val="en"/>
        </w:rPr>
        <w:t>T</w:t>
      </w:r>
      <w:r w:rsidRPr="009B062C">
        <w:rPr>
          <w:rFonts w:eastAsia="Calibri" w:cs="Times New Roman"/>
          <w:b w:val="0"/>
          <w:snapToGrid/>
          <w:sz w:val="20"/>
          <w:szCs w:val="22"/>
          <w:lang w:val="en"/>
        </w:rPr>
        <w:t>ables of Digital Document</w:t>
      </w:r>
      <w:r>
        <w:rPr>
          <w:rFonts w:eastAsia="Calibri" w:cs="Times New Roman"/>
          <w:b w:val="0"/>
          <w:snapToGrid/>
          <w:sz w:val="20"/>
          <w:szCs w:val="22"/>
          <w:lang w:val="en"/>
        </w:rPr>
        <w:t>s is now available in the Digital Document screen in the Companion App</w:t>
      </w:r>
      <w:r w:rsidRPr="009B062C">
        <w:rPr>
          <w:rFonts w:eastAsia="Calibri" w:cs="Times New Roman"/>
          <w:b w:val="0"/>
          <w:snapToGrid/>
          <w:sz w:val="20"/>
          <w:szCs w:val="22"/>
          <w:lang w:val="en"/>
        </w:rPr>
        <w:t>.</w:t>
      </w:r>
    </w:p>
    <w:sectPr w:rsidR="008035A4" w:rsidSect="00B4205E">
      <w:headerReference w:type="default" r:id="rId26"/>
      <w:footerReference w:type="default" r:id="rId27"/>
      <w:headerReference w:type="first" r:id="rId28"/>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52EDD" w14:textId="77777777" w:rsidR="00FD080C" w:rsidRDefault="00FD080C" w:rsidP="00DE3F25">
      <w:pPr>
        <w:spacing w:after="0" w:line="240" w:lineRule="auto"/>
      </w:pPr>
      <w:r>
        <w:separator/>
      </w:r>
    </w:p>
  </w:endnote>
  <w:endnote w:type="continuationSeparator" w:id="0">
    <w:p w14:paraId="7ECA02E3" w14:textId="77777777" w:rsidR="00FD080C" w:rsidRDefault="00FD080C" w:rsidP="00DE3F25">
      <w:pPr>
        <w:spacing w:after="0" w:line="240" w:lineRule="auto"/>
      </w:pPr>
      <w:r>
        <w:continuationSeparator/>
      </w:r>
    </w:p>
  </w:endnote>
  <w:endnote w:type="continuationNotice" w:id="1">
    <w:p w14:paraId="212557AF" w14:textId="77777777" w:rsidR="00FD080C" w:rsidRDefault="00FD08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26B6D" w14:textId="77777777" w:rsidR="0065673A" w:rsidRPr="00B4205E" w:rsidRDefault="0065673A"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72E2F4EA" wp14:editId="07DAA1A8">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DE2A2" w14:textId="77777777" w:rsidR="00FD080C" w:rsidRDefault="00FD080C" w:rsidP="00DE3F25">
      <w:pPr>
        <w:spacing w:after="0" w:line="240" w:lineRule="auto"/>
      </w:pPr>
      <w:bookmarkStart w:id="0" w:name="_Hlk520705609"/>
      <w:bookmarkEnd w:id="0"/>
      <w:r>
        <w:separator/>
      </w:r>
    </w:p>
  </w:footnote>
  <w:footnote w:type="continuationSeparator" w:id="0">
    <w:p w14:paraId="096B0171" w14:textId="77777777" w:rsidR="00FD080C" w:rsidRDefault="00FD080C" w:rsidP="00DE3F25">
      <w:pPr>
        <w:spacing w:after="0" w:line="240" w:lineRule="auto"/>
      </w:pPr>
      <w:r>
        <w:continuationSeparator/>
      </w:r>
    </w:p>
  </w:footnote>
  <w:footnote w:type="continuationNotice" w:id="1">
    <w:p w14:paraId="0138729F" w14:textId="77777777" w:rsidR="00FD080C" w:rsidRDefault="00FD08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7D9F9" w14:textId="77777777" w:rsidR="0065673A" w:rsidRDefault="0065673A"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7CFE905C" wp14:editId="4CF5203F">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04595" w14:textId="16515450" w:rsidR="0065673A" w:rsidRDefault="0065673A" w:rsidP="00A45BBC">
    <w:pPr>
      <w:pStyle w:val="Header"/>
      <w:tabs>
        <w:tab w:val="clear" w:pos="4513"/>
        <w:tab w:val="clear" w:pos="9026"/>
        <w:tab w:val="left" w:pos="9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A3CEBFBE"/>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B887857"/>
    <w:multiLevelType w:val="hybridMultilevel"/>
    <w:tmpl w:val="F1CCC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0777F3"/>
    <w:multiLevelType w:val="multilevel"/>
    <w:tmpl w:val="B794479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9"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A587D50"/>
    <w:multiLevelType w:val="hybridMultilevel"/>
    <w:tmpl w:val="79A8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8"/>
  </w:num>
  <w:num w:numId="3">
    <w:abstractNumId w:val="9"/>
  </w:num>
  <w:num w:numId="4">
    <w:abstractNumId w:val="1"/>
  </w:num>
  <w:num w:numId="5">
    <w:abstractNumId w:val="3"/>
  </w:num>
  <w:num w:numId="6">
    <w:abstractNumId w:val="7"/>
  </w:num>
  <w:num w:numId="7">
    <w:abstractNumId w:val="0"/>
  </w:num>
  <w:num w:numId="8">
    <w:abstractNumId w:val="6"/>
  </w:num>
  <w:num w:numId="9">
    <w:abstractNumId w:val="4"/>
  </w:num>
  <w:num w:numId="10">
    <w:abstractNumId w:val="5"/>
  </w:num>
  <w:num w:numId="11">
    <w:abstractNumId w:val="1"/>
    <w:lvlOverride w:ilvl="0">
      <w:startOverride w:val="1"/>
    </w:lvlOverride>
  </w:num>
  <w:num w:numId="12">
    <w:abstractNumId w:val="1"/>
    <w:lvlOverride w:ilvl="0">
      <w:startOverride w:val="1"/>
    </w:lvlOverride>
  </w:num>
  <w:num w:numId="13">
    <w:abstractNumId w:val="2"/>
  </w:num>
  <w:num w:numId="14">
    <w:abstractNumId w:val="10"/>
  </w:num>
  <w:num w:numId="15">
    <w:abstractNumId w:val="1"/>
    <w:lvlOverride w:ilvl="0">
      <w:startOverride w:val="1"/>
    </w:lvlOverride>
  </w:num>
  <w:num w:numId="16">
    <w:abstractNumId w:val="1"/>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AE9"/>
    <w:rsid w:val="00000B1C"/>
    <w:rsid w:val="0000145E"/>
    <w:rsid w:val="00001C46"/>
    <w:rsid w:val="000026B0"/>
    <w:rsid w:val="00002D57"/>
    <w:rsid w:val="00003325"/>
    <w:rsid w:val="00004325"/>
    <w:rsid w:val="00004960"/>
    <w:rsid w:val="00004E37"/>
    <w:rsid w:val="00005382"/>
    <w:rsid w:val="000059C0"/>
    <w:rsid w:val="00005C0E"/>
    <w:rsid w:val="0000675D"/>
    <w:rsid w:val="00006B3B"/>
    <w:rsid w:val="00006E19"/>
    <w:rsid w:val="00007921"/>
    <w:rsid w:val="00007B6C"/>
    <w:rsid w:val="00007EE1"/>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A02"/>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889"/>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6AE9"/>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5ED"/>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0DE"/>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1F52"/>
    <w:rsid w:val="000E2056"/>
    <w:rsid w:val="000E3752"/>
    <w:rsid w:val="000E4551"/>
    <w:rsid w:val="000E5533"/>
    <w:rsid w:val="000E5999"/>
    <w:rsid w:val="000E59BC"/>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8DF"/>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CF6"/>
    <w:rsid w:val="00190E74"/>
    <w:rsid w:val="00191861"/>
    <w:rsid w:val="00191A94"/>
    <w:rsid w:val="00191C74"/>
    <w:rsid w:val="00191DEF"/>
    <w:rsid w:val="0019274D"/>
    <w:rsid w:val="00193013"/>
    <w:rsid w:val="001934E3"/>
    <w:rsid w:val="00193D54"/>
    <w:rsid w:val="001940C3"/>
    <w:rsid w:val="00194DD8"/>
    <w:rsid w:val="00194F30"/>
    <w:rsid w:val="001950BA"/>
    <w:rsid w:val="0019593D"/>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02F"/>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59A"/>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0D7"/>
    <w:rsid w:val="001E3292"/>
    <w:rsid w:val="001E33C1"/>
    <w:rsid w:val="001E556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1F4"/>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4B4"/>
    <w:rsid w:val="002A3B15"/>
    <w:rsid w:val="002A3E4F"/>
    <w:rsid w:val="002A45EC"/>
    <w:rsid w:val="002A4A15"/>
    <w:rsid w:val="002A6D3D"/>
    <w:rsid w:val="002A763D"/>
    <w:rsid w:val="002B0305"/>
    <w:rsid w:val="002B0994"/>
    <w:rsid w:val="002B0EED"/>
    <w:rsid w:val="002B1D54"/>
    <w:rsid w:val="002B26B5"/>
    <w:rsid w:val="002B3DE0"/>
    <w:rsid w:val="002B4026"/>
    <w:rsid w:val="002B4E08"/>
    <w:rsid w:val="002B5614"/>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8FD"/>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258C"/>
    <w:rsid w:val="00323A4E"/>
    <w:rsid w:val="00323AF7"/>
    <w:rsid w:val="003241C7"/>
    <w:rsid w:val="00324856"/>
    <w:rsid w:val="003256D6"/>
    <w:rsid w:val="00326170"/>
    <w:rsid w:val="0032723F"/>
    <w:rsid w:val="0033052A"/>
    <w:rsid w:val="00330732"/>
    <w:rsid w:val="00330A13"/>
    <w:rsid w:val="00330C29"/>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5B1F"/>
    <w:rsid w:val="003474AE"/>
    <w:rsid w:val="00351BB3"/>
    <w:rsid w:val="003524BA"/>
    <w:rsid w:val="003535AA"/>
    <w:rsid w:val="0035405B"/>
    <w:rsid w:val="00354172"/>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673"/>
    <w:rsid w:val="003678AB"/>
    <w:rsid w:val="00367C22"/>
    <w:rsid w:val="00367F28"/>
    <w:rsid w:val="00371819"/>
    <w:rsid w:val="00372742"/>
    <w:rsid w:val="00373FAE"/>
    <w:rsid w:val="00374B7B"/>
    <w:rsid w:val="00375509"/>
    <w:rsid w:val="003756AC"/>
    <w:rsid w:val="003756F7"/>
    <w:rsid w:val="00375904"/>
    <w:rsid w:val="0037607C"/>
    <w:rsid w:val="00376302"/>
    <w:rsid w:val="0037643E"/>
    <w:rsid w:val="0037650B"/>
    <w:rsid w:val="00376AD4"/>
    <w:rsid w:val="00377308"/>
    <w:rsid w:val="00377504"/>
    <w:rsid w:val="0038004D"/>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A7A8B"/>
    <w:rsid w:val="003B0281"/>
    <w:rsid w:val="003B052A"/>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C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5C3D"/>
    <w:rsid w:val="003F686D"/>
    <w:rsid w:val="003F69F8"/>
    <w:rsid w:val="003F709A"/>
    <w:rsid w:val="003F79C7"/>
    <w:rsid w:val="003F79F5"/>
    <w:rsid w:val="003F7B46"/>
    <w:rsid w:val="00400FF5"/>
    <w:rsid w:val="00401DAD"/>
    <w:rsid w:val="00402B88"/>
    <w:rsid w:val="00403744"/>
    <w:rsid w:val="00403D93"/>
    <w:rsid w:val="00403F18"/>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796"/>
    <w:rsid w:val="00421D25"/>
    <w:rsid w:val="00422900"/>
    <w:rsid w:val="00422A5E"/>
    <w:rsid w:val="00422FFF"/>
    <w:rsid w:val="00423C4E"/>
    <w:rsid w:val="004248FF"/>
    <w:rsid w:val="004249AA"/>
    <w:rsid w:val="00425DA1"/>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6FE"/>
    <w:rsid w:val="00440FEA"/>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1D0"/>
    <w:rsid w:val="00461269"/>
    <w:rsid w:val="004628B6"/>
    <w:rsid w:val="00464B28"/>
    <w:rsid w:val="00465367"/>
    <w:rsid w:val="00465CB1"/>
    <w:rsid w:val="0046632C"/>
    <w:rsid w:val="00466B6C"/>
    <w:rsid w:val="00466D3B"/>
    <w:rsid w:val="00466EC5"/>
    <w:rsid w:val="00466FDA"/>
    <w:rsid w:val="0046747B"/>
    <w:rsid w:val="0046754C"/>
    <w:rsid w:val="004675B8"/>
    <w:rsid w:val="004677E9"/>
    <w:rsid w:val="004706B1"/>
    <w:rsid w:val="00470F8E"/>
    <w:rsid w:val="004710DD"/>
    <w:rsid w:val="0047144C"/>
    <w:rsid w:val="0047152F"/>
    <w:rsid w:val="00472418"/>
    <w:rsid w:val="00472EEC"/>
    <w:rsid w:val="0047385C"/>
    <w:rsid w:val="00474545"/>
    <w:rsid w:val="0047466E"/>
    <w:rsid w:val="004749D9"/>
    <w:rsid w:val="004772D8"/>
    <w:rsid w:val="004773C7"/>
    <w:rsid w:val="004800B0"/>
    <w:rsid w:val="00480792"/>
    <w:rsid w:val="00480AFD"/>
    <w:rsid w:val="0048129F"/>
    <w:rsid w:val="0048185E"/>
    <w:rsid w:val="004833D2"/>
    <w:rsid w:val="0048469A"/>
    <w:rsid w:val="004869E6"/>
    <w:rsid w:val="00487043"/>
    <w:rsid w:val="00487612"/>
    <w:rsid w:val="00487F00"/>
    <w:rsid w:val="00487F43"/>
    <w:rsid w:val="00490A13"/>
    <w:rsid w:val="00490E28"/>
    <w:rsid w:val="00490FA4"/>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2C4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C59"/>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35ED"/>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7FB"/>
    <w:rsid w:val="0058385E"/>
    <w:rsid w:val="00583C0D"/>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FB6"/>
    <w:rsid w:val="00597511"/>
    <w:rsid w:val="00597585"/>
    <w:rsid w:val="005A0EE4"/>
    <w:rsid w:val="005A1099"/>
    <w:rsid w:val="005A2668"/>
    <w:rsid w:val="005A37DC"/>
    <w:rsid w:val="005A47AB"/>
    <w:rsid w:val="005A4D6C"/>
    <w:rsid w:val="005A4E0B"/>
    <w:rsid w:val="005A535C"/>
    <w:rsid w:val="005A59D4"/>
    <w:rsid w:val="005A6FCC"/>
    <w:rsid w:val="005A729B"/>
    <w:rsid w:val="005A776B"/>
    <w:rsid w:val="005A7CE9"/>
    <w:rsid w:val="005A7CF7"/>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C7D47"/>
    <w:rsid w:val="005D0309"/>
    <w:rsid w:val="005D11BF"/>
    <w:rsid w:val="005D126C"/>
    <w:rsid w:val="005D1703"/>
    <w:rsid w:val="005D36E7"/>
    <w:rsid w:val="005D3965"/>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24D"/>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22D"/>
    <w:rsid w:val="00651434"/>
    <w:rsid w:val="00651463"/>
    <w:rsid w:val="0065167B"/>
    <w:rsid w:val="00652A4B"/>
    <w:rsid w:val="0065367B"/>
    <w:rsid w:val="00653F00"/>
    <w:rsid w:val="0065487C"/>
    <w:rsid w:val="006552BB"/>
    <w:rsid w:val="006557D6"/>
    <w:rsid w:val="0065673A"/>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0EA"/>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34"/>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2D91"/>
    <w:rsid w:val="006D3231"/>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3E4E"/>
    <w:rsid w:val="006E433D"/>
    <w:rsid w:val="006E680A"/>
    <w:rsid w:val="006E7EA5"/>
    <w:rsid w:val="006F021D"/>
    <w:rsid w:val="006F0B6B"/>
    <w:rsid w:val="006F1F20"/>
    <w:rsid w:val="006F371D"/>
    <w:rsid w:val="006F3911"/>
    <w:rsid w:val="006F3CAF"/>
    <w:rsid w:val="006F3FF4"/>
    <w:rsid w:val="006F4D9D"/>
    <w:rsid w:val="006F5127"/>
    <w:rsid w:val="006F52F9"/>
    <w:rsid w:val="006F6BEC"/>
    <w:rsid w:val="006F6F8E"/>
    <w:rsid w:val="006F7D5B"/>
    <w:rsid w:val="00701828"/>
    <w:rsid w:val="00702622"/>
    <w:rsid w:val="00702CE2"/>
    <w:rsid w:val="00702FBC"/>
    <w:rsid w:val="00703125"/>
    <w:rsid w:val="007041FD"/>
    <w:rsid w:val="00704CAF"/>
    <w:rsid w:val="00705069"/>
    <w:rsid w:val="00705245"/>
    <w:rsid w:val="007052BE"/>
    <w:rsid w:val="0070595C"/>
    <w:rsid w:val="00706052"/>
    <w:rsid w:val="00706FFC"/>
    <w:rsid w:val="007076AB"/>
    <w:rsid w:val="007107C0"/>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394"/>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4AC"/>
    <w:rsid w:val="007A0520"/>
    <w:rsid w:val="007A2CC0"/>
    <w:rsid w:val="007A3350"/>
    <w:rsid w:val="007A3C31"/>
    <w:rsid w:val="007A420C"/>
    <w:rsid w:val="007A44D2"/>
    <w:rsid w:val="007A475E"/>
    <w:rsid w:val="007A47F3"/>
    <w:rsid w:val="007A5A22"/>
    <w:rsid w:val="007A5EE4"/>
    <w:rsid w:val="007A678D"/>
    <w:rsid w:val="007A6B1A"/>
    <w:rsid w:val="007A6B23"/>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54B1"/>
    <w:rsid w:val="007C6146"/>
    <w:rsid w:val="007C6BA0"/>
    <w:rsid w:val="007C7525"/>
    <w:rsid w:val="007C7766"/>
    <w:rsid w:val="007C7B54"/>
    <w:rsid w:val="007D06B6"/>
    <w:rsid w:val="007D093A"/>
    <w:rsid w:val="007D1971"/>
    <w:rsid w:val="007D1E88"/>
    <w:rsid w:val="007D21E5"/>
    <w:rsid w:val="007D259E"/>
    <w:rsid w:val="007D2947"/>
    <w:rsid w:val="007D3043"/>
    <w:rsid w:val="007D3E21"/>
    <w:rsid w:val="007D4012"/>
    <w:rsid w:val="007D42E0"/>
    <w:rsid w:val="007D4827"/>
    <w:rsid w:val="007D4BAE"/>
    <w:rsid w:val="007D4EDE"/>
    <w:rsid w:val="007D5177"/>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FD8"/>
    <w:rsid w:val="008035A4"/>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2B58"/>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3CD0"/>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0571"/>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6193"/>
    <w:rsid w:val="008E7741"/>
    <w:rsid w:val="008E7F4F"/>
    <w:rsid w:val="008F119B"/>
    <w:rsid w:val="008F18F8"/>
    <w:rsid w:val="008F1A19"/>
    <w:rsid w:val="008F2837"/>
    <w:rsid w:val="008F2C7D"/>
    <w:rsid w:val="008F380F"/>
    <w:rsid w:val="008F3833"/>
    <w:rsid w:val="008F3906"/>
    <w:rsid w:val="008F3E74"/>
    <w:rsid w:val="008F446F"/>
    <w:rsid w:val="008F469B"/>
    <w:rsid w:val="008F587C"/>
    <w:rsid w:val="008F5D15"/>
    <w:rsid w:val="008F5F39"/>
    <w:rsid w:val="008F6239"/>
    <w:rsid w:val="008F6287"/>
    <w:rsid w:val="008F7522"/>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17650"/>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4CDA"/>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4DB"/>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5AC3"/>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0F"/>
    <w:rsid w:val="009A78E3"/>
    <w:rsid w:val="009B062C"/>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686"/>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FFB"/>
    <w:rsid w:val="00AD305C"/>
    <w:rsid w:val="00AD32AC"/>
    <w:rsid w:val="00AD33D1"/>
    <w:rsid w:val="00AD47C7"/>
    <w:rsid w:val="00AD51EF"/>
    <w:rsid w:val="00AD53C9"/>
    <w:rsid w:val="00AD670A"/>
    <w:rsid w:val="00AD69A0"/>
    <w:rsid w:val="00AD6E0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2A00"/>
    <w:rsid w:val="00B736FF"/>
    <w:rsid w:val="00B73CB6"/>
    <w:rsid w:val="00B74259"/>
    <w:rsid w:val="00B74D7C"/>
    <w:rsid w:val="00B74E49"/>
    <w:rsid w:val="00B75305"/>
    <w:rsid w:val="00B75DA3"/>
    <w:rsid w:val="00B75EB3"/>
    <w:rsid w:val="00B761D9"/>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274"/>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0E61"/>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42E"/>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0AC"/>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0F7C"/>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0BED"/>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4B8C"/>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AC6"/>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09F6"/>
    <w:rsid w:val="00CF1499"/>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5EAC"/>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3FF"/>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27AEF"/>
    <w:rsid w:val="00D303A9"/>
    <w:rsid w:val="00D30FEB"/>
    <w:rsid w:val="00D31CAC"/>
    <w:rsid w:val="00D32251"/>
    <w:rsid w:val="00D326D9"/>
    <w:rsid w:val="00D32C46"/>
    <w:rsid w:val="00D334C9"/>
    <w:rsid w:val="00D335EA"/>
    <w:rsid w:val="00D33BE3"/>
    <w:rsid w:val="00D34056"/>
    <w:rsid w:val="00D3480F"/>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4DB7"/>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4062"/>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3FD"/>
    <w:rsid w:val="00DC3784"/>
    <w:rsid w:val="00DC3B3E"/>
    <w:rsid w:val="00DC4707"/>
    <w:rsid w:val="00DC4B2A"/>
    <w:rsid w:val="00DC4B61"/>
    <w:rsid w:val="00DC4C30"/>
    <w:rsid w:val="00DC4F45"/>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557"/>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6FD"/>
    <w:rsid w:val="00F428E8"/>
    <w:rsid w:val="00F438D1"/>
    <w:rsid w:val="00F43A65"/>
    <w:rsid w:val="00F4490F"/>
    <w:rsid w:val="00F46C38"/>
    <w:rsid w:val="00F47D21"/>
    <w:rsid w:val="00F50A74"/>
    <w:rsid w:val="00F530BD"/>
    <w:rsid w:val="00F533B0"/>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2C32"/>
    <w:rsid w:val="00F72C84"/>
    <w:rsid w:val="00F73149"/>
    <w:rsid w:val="00F732D6"/>
    <w:rsid w:val="00F73785"/>
    <w:rsid w:val="00F73FD3"/>
    <w:rsid w:val="00F750A6"/>
    <w:rsid w:val="00F75BAA"/>
    <w:rsid w:val="00F75CF4"/>
    <w:rsid w:val="00F75DBB"/>
    <w:rsid w:val="00F7699C"/>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687C"/>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80C"/>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37AA"/>
    <w:rsid w:val="00FF4E7F"/>
    <w:rsid w:val="00FF563E"/>
    <w:rsid w:val="00FF5CB4"/>
    <w:rsid w:val="00FF5FBB"/>
    <w:rsid w:val="00FF5FF0"/>
    <w:rsid w:val="00FF61DC"/>
    <w:rsid w:val="00FF6299"/>
    <w:rsid w:val="00FF7121"/>
    <w:rsid w:val="00FF7232"/>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AB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0E1F52"/>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046AE9"/>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46AE9"/>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play.google.com/store/apps/details?id=com.wcs.hub2DigitalDocuments&amp;hl=en_GB"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apps.apple.com/us/app/gotechnology-companion-app/id1485718605" TargetMode="Externa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http://emeaext.amec.com/sites/ts_qedi_3797/Technology%20Working%20Documents/hub2/Patch%20Notes/PatchNoteTemplate.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794FE2-D1D9-4DED-B536-5BE6C6A8A698}">
  <ds:schemaRefs>
    <ds:schemaRef ds:uri="http://schemas.microsoft.com/office/2006/metadata/properties"/>
    <ds:schemaRef ds:uri="http://schemas.microsoft.com/office/infopath/2007/PartnerControls"/>
    <ds:schemaRef ds:uri="http://schemas.microsoft.com/sharepoint/v3/fields"/>
  </ds:schemaRefs>
</ds:datastoreItem>
</file>

<file path=customXml/itemProps3.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4.xml><?xml version="1.0" encoding="utf-8"?>
<ds:datastoreItem xmlns:ds="http://schemas.openxmlformats.org/officeDocument/2006/customXml" ds:itemID="{485776E3-75C1-4A45-A834-C5267E25C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PatchNoteTemplate.dotx</Template>
  <TotalTime>0</TotalTime>
  <Pages>7</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7217</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2020-02-27T09:53:00Z</dcterms:created>
  <dcterms:modified xsi:type="dcterms:W3CDTF">2020-03-10T09:39:00Z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