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5544EC88" w:rsidR="00BE24DC" w:rsidRDefault="00AA0A8A" w:rsidP="00BE24DC">
      <w:pPr>
        <w:pStyle w:val="Covertitle"/>
      </w:pPr>
      <w:r>
        <w:t>V1.</w:t>
      </w:r>
      <w:r w:rsidR="00FC60A3">
        <w:t>50</w:t>
      </w:r>
      <w:r w:rsidR="00A66783">
        <w:t>.</w:t>
      </w:r>
      <w:r w:rsidR="00FC60A3">
        <w:t>1</w:t>
      </w:r>
      <w:r>
        <w:t xml:space="preserve"> Release Notes</w:t>
      </w:r>
    </w:p>
    <w:p w14:paraId="650D379C" w14:textId="780B9962" w:rsidR="00BE24DC" w:rsidRPr="0026164C" w:rsidRDefault="00AA0A8A" w:rsidP="00BE24DC">
      <w:pPr>
        <w:pStyle w:val="Coversubtitle"/>
      </w:pPr>
      <w:proofErr w:type="spellStart"/>
      <w:r>
        <w:t>GoTechnology</w:t>
      </w:r>
      <w:proofErr w:type="spellEnd"/>
      <w:r>
        <w:t xml:space="preserve">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A0A8A">
      <w:pPr>
        <w:pStyle w:val="Woodsubhead1-bulletednumberteal"/>
      </w:pPr>
      <w:r>
        <w:lastRenderedPageBreak/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2EF636B8" w:rsidR="00AA0A8A" w:rsidRDefault="00AA0A8A" w:rsidP="00AA0A8A">
      <w:pPr>
        <w:pStyle w:val="WoodBody"/>
      </w:pPr>
      <w:r>
        <w:t>This document provides a brief overview of the changes made between V1.</w:t>
      </w:r>
      <w:r w:rsidR="00FC60A3">
        <w:t xml:space="preserve">50 </w:t>
      </w:r>
      <w:r>
        <w:t>and V1.</w:t>
      </w:r>
      <w:r w:rsidR="00FC60A3">
        <w:t>50</w:t>
      </w:r>
      <w:r w:rsidR="00B825D1">
        <w:t>.</w:t>
      </w:r>
      <w:r w:rsidR="00FC60A3">
        <w:t>1</w:t>
      </w:r>
      <w:r>
        <w:t xml:space="preserve"> of </w:t>
      </w:r>
      <w:proofErr w:type="spellStart"/>
      <w:r>
        <w:t>GoTechnology</w:t>
      </w:r>
      <w:proofErr w:type="spellEnd"/>
      <w:r>
        <w:t xml:space="preserve"> hub2, along with where further details of each change can be found within the updated functional specification, in addition to a listing of completed bug fixes and known issues.</w:t>
      </w:r>
    </w:p>
    <w:p w14:paraId="1B3C6821" w14:textId="3A9161EF" w:rsidR="00AA0A8A" w:rsidRDefault="00AA0A8A" w:rsidP="00AA0A8A">
      <w:pPr>
        <w:pStyle w:val="Woodsubhead1-bulletednumberteal"/>
      </w:pPr>
      <w:r>
        <w:t>Fixed Issues</w:t>
      </w:r>
    </w:p>
    <w:p w14:paraId="637945F2" w14:textId="554F1F5F" w:rsidR="00AA0A8A" w:rsidRDefault="00AA0A8A" w:rsidP="00AA0A8A">
      <w:pPr>
        <w:pStyle w:val="WoodBody"/>
      </w:pPr>
      <w:r>
        <w:t>The following issues have been fixed in version 1.</w:t>
      </w:r>
      <w:r w:rsidR="00FC60A3">
        <w:t>50.1</w:t>
      </w:r>
      <w:r>
        <w:t xml:space="preserve"> of hub2</w:t>
      </w:r>
      <w:r w:rsidR="00AC6C1C">
        <w:t>: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1159"/>
        <w:gridCol w:w="2481"/>
        <w:gridCol w:w="6391"/>
      </w:tblGrid>
      <w:tr w:rsidR="00AA0A8A" w:rsidRPr="00F426FD" w14:paraId="42F68905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9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481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391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06F3640E" w14:textId="2A63056D" w:rsidR="00B825D1" w:rsidRPr="00F426FD" w:rsidRDefault="008D3495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12</w:t>
            </w:r>
            <w:r w:rsidR="00565163">
              <w:rPr>
                <w:rFonts w:cs="Segoe UI"/>
                <w:szCs w:val="20"/>
              </w:rPr>
              <w:t>9534</w:t>
            </w:r>
          </w:p>
        </w:tc>
        <w:tc>
          <w:tcPr>
            <w:tcW w:w="2481" w:type="dxa"/>
          </w:tcPr>
          <w:p w14:paraId="42521B64" w14:textId="6CA977B8" w:rsidR="00AA0A8A" w:rsidRPr="00F426FD" w:rsidRDefault="007037C3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Process Builder </w:t>
            </w:r>
            <w:r w:rsidR="001E120B">
              <w:rPr>
                <w:rFonts w:cs="Segoe UI"/>
                <w:szCs w:val="20"/>
              </w:rPr>
              <w:t>fields displaying incorrect values</w:t>
            </w:r>
          </w:p>
        </w:tc>
        <w:tc>
          <w:tcPr>
            <w:tcW w:w="6391" w:type="dxa"/>
          </w:tcPr>
          <w:p w14:paraId="62F1AEE8" w14:textId="149CD5A6" w:rsidR="00C620B5" w:rsidRPr="00F426FD" w:rsidRDefault="00AC7ACE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Users reported that </w:t>
            </w:r>
            <w:r w:rsidR="001D12C7">
              <w:rPr>
                <w:rFonts w:cs="Segoe UI"/>
                <w:szCs w:val="20"/>
              </w:rPr>
              <w:t>pop-ups in the Process Builder were displaying the wrong type of field values.</w:t>
            </w:r>
            <w:r w:rsidR="00FA0CB3">
              <w:rPr>
                <w:rFonts w:cs="Segoe UI"/>
                <w:szCs w:val="20"/>
              </w:rPr>
              <w:t xml:space="preserve"> This has been </w:t>
            </w:r>
            <w:r w:rsidR="006A6835">
              <w:rPr>
                <w:rFonts w:cs="Segoe UI"/>
                <w:szCs w:val="20"/>
              </w:rPr>
              <w:t>fixed</w:t>
            </w:r>
            <w:r w:rsidR="00FA0CB3">
              <w:rPr>
                <w:rFonts w:cs="Segoe UI"/>
                <w:szCs w:val="20"/>
              </w:rPr>
              <w:t xml:space="preserve"> so that the correct values are once again displayed in the fields/pop-ups.</w:t>
            </w:r>
          </w:p>
        </w:tc>
      </w:tr>
      <w:tr w:rsidR="001C4B5D" w:rsidRPr="00F426FD" w14:paraId="4032A4C6" w14:textId="77777777" w:rsidTr="00C620B5">
        <w:tc>
          <w:tcPr>
            <w:tcW w:w="1159" w:type="dxa"/>
          </w:tcPr>
          <w:p w14:paraId="1D4FA1C3" w14:textId="149ACD13" w:rsidR="001C4B5D" w:rsidRDefault="00565163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129675</w:t>
            </w:r>
          </w:p>
          <w:p w14:paraId="64A55E6A" w14:textId="3A67E7AB" w:rsidR="00565163" w:rsidRPr="00564440" w:rsidRDefault="00565163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129677</w:t>
            </w:r>
          </w:p>
        </w:tc>
        <w:tc>
          <w:tcPr>
            <w:tcW w:w="2481" w:type="dxa"/>
          </w:tcPr>
          <w:p w14:paraId="3723EC9D" w14:textId="53D952B3" w:rsidR="001C4B5D" w:rsidRDefault="00AC79F2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Process Builder </w:t>
            </w:r>
            <w:r w:rsidR="009865BE">
              <w:rPr>
                <w:rFonts w:cs="Segoe UI"/>
                <w:szCs w:val="20"/>
              </w:rPr>
              <w:t>Detailed Report not generating</w:t>
            </w:r>
          </w:p>
        </w:tc>
        <w:tc>
          <w:tcPr>
            <w:tcW w:w="6391" w:type="dxa"/>
          </w:tcPr>
          <w:p w14:paraId="78391048" w14:textId="11A43DDA" w:rsidR="001C4B5D" w:rsidRDefault="009865BE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A generic error message was received when attempting to generate the Process Builder Detailed Report. This has been corrected and the report now generates and downloads successfully.</w:t>
            </w:r>
          </w:p>
        </w:tc>
      </w:tr>
    </w:tbl>
    <w:p w14:paraId="7666DEAB" w14:textId="538EB4DB" w:rsidR="00AA0A8A" w:rsidRDefault="00AA0A8A" w:rsidP="00AA0A8A">
      <w:pPr>
        <w:pStyle w:val="Woodsubhead1-bulletednumberteal"/>
      </w:pPr>
      <w:r>
        <w:t>Features</w:t>
      </w:r>
    </w:p>
    <w:p w14:paraId="55950ED4" w14:textId="4EAF43C0" w:rsidR="00B825D1" w:rsidRPr="001670BF" w:rsidRDefault="00B825D1" w:rsidP="00B825D1">
      <w:pPr>
        <w:pStyle w:val="BodyText"/>
      </w:pPr>
      <w:r>
        <w:t>v1.</w:t>
      </w:r>
      <w:r w:rsidR="00FC60A3">
        <w:t>50</w:t>
      </w:r>
      <w:r>
        <w:t>.</w:t>
      </w:r>
      <w:r w:rsidR="00FC60A3">
        <w:t>1</w:t>
      </w:r>
      <w:r>
        <w:t xml:space="preserve"> is a patch release so includes no new features.</w:t>
      </w:r>
    </w:p>
    <w:p w14:paraId="751F11B5" w14:textId="4178E279" w:rsidR="00AA0A8A" w:rsidRDefault="00AA0A8A" w:rsidP="00AA0A8A"/>
    <w:p w14:paraId="417071BF" w14:textId="77777777" w:rsidR="00AA0A8A" w:rsidRPr="001670BF" w:rsidRDefault="00AA0A8A" w:rsidP="00AA0A8A">
      <w:pPr>
        <w:pStyle w:val="Woodsubhead1-bulletednumberteal"/>
        <w:numPr>
          <w:ilvl w:val="0"/>
          <w:numId w:val="0"/>
        </w:numPr>
        <w:ind w:left="284" w:hanging="284"/>
      </w:pPr>
    </w:p>
    <w:sectPr w:rsidR="00AA0A8A" w:rsidRPr="001670BF" w:rsidSect="00BE24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0B2E" w14:textId="77777777" w:rsidR="00584FBC" w:rsidRDefault="00584FBC" w:rsidP="002C6747">
      <w:pPr>
        <w:spacing w:after="0"/>
      </w:pPr>
      <w:r>
        <w:separator/>
      </w:r>
    </w:p>
  </w:endnote>
  <w:endnote w:type="continuationSeparator" w:id="0">
    <w:p w14:paraId="0F83DE48" w14:textId="77777777" w:rsidR="00584FBC" w:rsidRDefault="00584FBC" w:rsidP="002C6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81A9" w14:textId="77777777" w:rsidR="00C50FFB" w:rsidRDefault="00C50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03E0BC2F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  <w:proofErr w:type="spellStart"/>
    <w:r w:rsidR="005B1185">
      <w:rPr>
        <w:rStyle w:val="WoodFooterChar"/>
      </w:rPr>
      <w:t>GoTechnology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AD32" w14:textId="77777777" w:rsidR="00584FBC" w:rsidRDefault="00584FBC" w:rsidP="002C6747">
      <w:pPr>
        <w:spacing w:after="0"/>
      </w:pPr>
      <w:r>
        <w:separator/>
      </w:r>
    </w:p>
  </w:footnote>
  <w:footnote w:type="continuationSeparator" w:id="0">
    <w:p w14:paraId="5806CC38" w14:textId="77777777" w:rsidR="00584FBC" w:rsidRDefault="00584FBC" w:rsidP="002C6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7117" w14:textId="7B5B0D73" w:rsidR="00C50FFB" w:rsidRDefault="00FC60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1FF3A1" wp14:editId="22ED826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700"/>
              <wp:wrapNone/>
              <wp:docPr id="1985775534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DC29D" w14:textId="541FE211" w:rsidR="00FC60A3" w:rsidRPr="00FC60A3" w:rsidRDefault="00FC60A3" w:rsidP="00FC60A3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</w:pPr>
                          <w:r w:rsidRPr="00FC60A3"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FF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5AFDC29D" w14:textId="541FE211" w:rsidR="00FC60A3" w:rsidRPr="00FC60A3" w:rsidRDefault="00FC60A3" w:rsidP="00FC60A3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</w:rPr>
                    </w:pPr>
                    <w:r w:rsidRPr="00FC60A3">
                      <w:rPr>
                        <w:rFonts w:ascii="Calibri" w:hAnsi="Calibri" w:cs="Calibri"/>
                        <w:noProof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7991A0E7" w:rsidR="00255FB1" w:rsidRDefault="00FC60A3" w:rsidP="00535582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2D6A47E" wp14:editId="0DDF56A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700"/>
              <wp:wrapNone/>
              <wp:docPr id="493470760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76EC0" w14:textId="1BF09704" w:rsidR="00FC60A3" w:rsidRPr="00FC60A3" w:rsidRDefault="00FC60A3" w:rsidP="00FC60A3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</w:pPr>
                          <w:r w:rsidRPr="00FC60A3"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D6A4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6C76EC0" w14:textId="1BF09704" w:rsidR="00FC60A3" w:rsidRPr="00FC60A3" w:rsidRDefault="00FC60A3" w:rsidP="00FC60A3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</w:rPr>
                    </w:pPr>
                    <w:r w:rsidRPr="00FC60A3">
                      <w:rPr>
                        <w:rFonts w:ascii="Calibri" w:hAnsi="Calibri" w:cs="Calibri"/>
                        <w:noProof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0274">
      <w:rPr>
        <w:noProof/>
      </w:rPr>
      <w:drawing>
        <wp:anchor distT="0" distB="0" distL="114300" distR="114300" simplePos="0" relativeHeight="251659264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A18" w14:textId="2CECAB5A" w:rsidR="002C3373" w:rsidRDefault="00FC60A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765A7D" wp14:editId="005C441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0" b="12700"/>
              <wp:wrapNone/>
              <wp:docPr id="153324070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E7614" w14:textId="0D24AE58" w:rsidR="00FC60A3" w:rsidRPr="00FC60A3" w:rsidRDefault="00FC60A3" w:rsidP="00FC60A3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</w:pPr>
                          <w:r w:rsidRPr="00FC60A3">
                            <w:rPr>
                              <w:rFonts w:ascii="Calibri" w:hAnsi="Calibri" w:cs="Calibri"/>
                              <w:noProof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65A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F9E7614" w14:textId="0D24AE58" w:rsidR="00FC60A3" w:rsidRPr="00FC60A3" w:rsidRDefault="00FC60A3" w:rsidP="00FC60A3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</w:rPr>
                    </w:pPr>
                    <w:r w:rsidRPr="00FC60A3">
                      <w:rPr>
                        <w:rFonts w:ascii="Calibri" w:hAnsi="Calibri" w:cs="Calibri"/>
                        <w:noProof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5721">
    <w:abstractNumId w:val="7"/>
  </w:num>
  <w:num w:numId="2" w16cid:durableId="633557337">
    <w:abstractNumId w:val="14"/>
  </w:num>
  <w:num w:numId="3" w16cid:durableId="276252259">
    <w:abstractNumId w:val="10"/>
  </w:num>
  <w:num w:numId="4" w16cid:durableId="1504271967">
    <w:abstractNumId w:val="11"/>
  </w:num>
  <w:num w:numId="5" w16cid:durableId="1274439181">
    <w:abstractNumId w:val="19"/>
  </w:num>
  <w:num w:numId="6" w16cid:durableId="2048749404">
    <w:abstractNumId w:val="12"/>
  </w:num>
  <w:num w:numId="7" w16cid:durableId="1265455243">
    <w:abstractNumId w:val="6"/>
  </w:num>
  <w:num w:numId="8" w16cid:durableId="1465848567">
    <w:abstractNumId w:val="13"/>
  </w:num>
  <w:num w:numId="9" w16cid:durableId="854073184">
    <w:abstractNumId w:val="0"/>
  </w:num>
  <w:num w:numId="10" w16cid:durableId="1653212836">
    <w:abstractNumId w:val="16"/>
  </w:num>
  <w:num w:numId="11" w16cid:durableId="883757627">
    <w:abstractNumId w:val="5"/>
  </w:num>
  <w:num w:numId="12" w16cid:durableId="1117915064">
    <w:abstractNumId w:val="18"/>
  </w:num>
  <w:num w:numId="13" w16cid:durableId="1901748425">
    <w:abstractNumId w:val="1"/>
  </w:num>
  <w:num w:numId="14" w16cid:durableId="1210414510">
    <w:abstractNumId w:val="8"/>
  </w:num>
  <w:num w:numId="15" w16cid:durableId="1229999331">
    <w:abstractNumId w:val="4"/>
  </w:num>
  <w:num w:numId="16" w16cid:durableId="230628571">
    <w:abstractNumId w:val="3"/>
  </w:num>
  <w:num w:numId="17" w16cid:durableId="1118570672">
    <w:abstractNumId w:val="15"/>
  </w:num>
  <w:num w:numId="18" w16cid:durableId="484512388">
    <w:abstractNumId w:val="17"/>
  </w:num>
  <w:num w:numId="19" w16cid:durableId="480804600">
    <w:abstractNumId w:val="9"/>
  </w:num>
  <w:num w:numId="20" w16cid:durableId="3011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A8A"/>
    <w:rsid w:val="000619F5"/>
    <w:rsid w:val="00064F2F"/>
    <w:rsid w:val="00067FFD"/>
    <w:rsid w:val="00074063"/>
    <w:rsid w:val="00077054"/>
    <w:rsid w:val="00081211"/>
    <w:rsid w:val="000825A9"/>
    <w:rsid w:val="00097932"/>
    <w:rsid w:val="000A44D9"/>
    <w:rsid w:val="000B03C8"/>
    <w:rsid w:val="000B3FDC"/>
    <w:rsid w:val="000B42FB"/>
    <w:rsid w:val="000B785E"/>
    <w:rsid w:val="000D7CF4"/>
    <w:rsid w:val="000D7DE4"/>
    <w:rsid w:val="000E3E14"/>
    <w:rsid w:val="000F08DD"/>
    <w:rsid w:val="00120480"/>
    <w:rsid w:val="00160589"/>
    <w:rsid w:val="001670BF"/>
    <w:rsid w:val="0017571F"/>
    <w:rsid w:val="00197439"/>
    <w:rsid w:val="001A0876"/>
    <w:rsid w:val="001B3A98"/>
    <w:rsid w:val="001C4B5D"/>
    <w:rsid w:val="001D12C7"/>
    <w:rsid w:val="001E120B"/>
    <w:rsid w:val="001F0274"/>
    <w:rsid w:val="00206BBB"/>
    <w:rsid w:val="0022105D"/>
    <w:rsid w:val="002252BC"/>
    <w:rsid w:val="00255645"/>
    <w:rsid w:val="00255FB1"/>
    <w:rsid w:val="00273BF0"/>
    <w:rsid w:val="00290267"/>
    <w:rsid w:val="00290787"/>
    <w:rsid w:val="002C3373"/>
    <w:rsid w:val="002C6747"/>
    <w:rsid w:val="002D03F2"/>
    <w:rsid w:val="002E2E67"/>
    <w:rsid w:val="002E3B4F"/>
    <w:rsid w:val="002E44B4"/>
    <w:rsid w:val="002E5671"/>
    <w:rsid w:val="002F0CED"/>
    <w:rsid w:val="0032086C"/>
    <w:rsid w:val="00327C5E"/>
    <w:rsid w:val="00334637"/>
    <w:rsid w:val="0034105E"/>
    <w:rsid w:val="00355323"/>
    <w:rsid w:val="0036589C"/>
    <w:rsid w:val="00387E8B"/>
    <w:rsid w:val="00397078"/>
    <w:rsid w:val="003B4B98"/>
    <w:rsid w:val="003B5C5C"/>
    <w:rsid w:val="003E3D5A"/>
    <w:rsid w:val="003E6CFD"/>
    <w:rsid w:val="003F0CB8"/>
    <w:rsid w:val="003F79C7"/>
    <w:rsid w:val="00416312"/>
    <w:rsid w:val="00440DE6"/>
    <w:rsid w:val="00446E4A"/>
    <w:rsid w:val="00453D5F"/>
    <w:rsid w:val="00476669"/>
    <w:rsid w:val="00486AAC"/>
    <w:rsid w:val="004A2B70"/>
    <w:rsid w:val="004C143F"/>
    <w:rsid w:val="004C3B4C"/>
    <w:rsid w:val="004C7DFD"/>
    <w:rsid w:val="00505DB2"/>
    <w:rsid w:val="00526205"/>
    <w:rsid w:val="00535582"/>
    <w:rsid w:val="005625A6"/>
    <w:rsid w:val="00564440"/>
    <w:rsid w:val="00565163"/>
    <w:rsid w:val="00582523"/>
    <w:rsid w:val="00584FBC"/>
    <w:rsid w:val="005B1185"/>
    <w:rsid w:val="005B14B1"/>
    <w:rsid w:val="005C7BF5"/>
    <w:rsid w:val="005D7901"/>
    <w:rsid w:val="005E5FC1"/>
    <w:rsid w:val="005F7537"/>
    <w:rsid w:val="00612FD7"/>
    <w:rsid w:val="0061780F"/>
    <w:rsid w:val="006264BD"/>
    <w:rsid w:val="0065570D"/>
    <w:rsid w:val="00672EE0"/>
    <w:rsid w:val="00681B8D"/>
    <w:rsid w:val="006A6835"/>
    <w:rsid w:val="006A7601"/>
    <w:rsid w:val="006B52FD"/>
    <w:rsid w:val="006B6E97"/>
    <w:rsid w:val="006C39D6"/>
    <w:rsid w:val="006C54F6"/>
    <w:rsid w:val="006D1E38"/>
    <w:rsid w:val="006D2280"/>
    <w:rsid w:val="006E59EA"/>
    <w:rsid w:val="006E7E6D"/>
    <w:rsid w:val="006F3E01"/>
    <w:rsid w:val="007037C3"/>
    <w:rsid w:val="0071459A"/>
    <w:rsid w:val="00727B31"/>
    <w:rsid w:val="00734B3E"/>
    <w:rsid w:val="00735C98"/>
    <w:rsid w:val="0074232A"/>
    <w:rsid w:val="007B2280"/>
    <w:rsid w:val="007B5A88"/>
    <w:rsid w:val="007C1999"/>
    <w:rsid w:val="007D5581"/>
    <w:rsid w:val="007F1F9C"/>
    <w:rsid w:val="007F7CC5"/>
    <w:rsid w:val="0081736A"/>
    <w:rsid w:val="0085014E"/>
    <w:rsid w:val="00887507"/>
    <w:rsid w:val="00887F76"/>
    <w:rsid w:val="008B7D6E"/>
    <w:rsid w:val="008D29DE"/>
    <w:rsid w:val="008D3495"/>
    <w:rsid w:val="008F02B7"/>
    <w:rsid w:val="008F5A73"/>
    <w:rsid w:val="008F743E"/>
    <w:rsid w:val="00903CFA"/>
    <w:rsid w:val="00911F2C"/>
    <w:rsid w:val="00926DE8"/>
    <w:rsid w:val="00930B1C"/>
    <w:rsid w:val="0093175A"/>
    <w:rsid w:val="00933F8A"/>
    <w:rsid w:val="0095248D"/>
    <w:rsid w:val="00954582"/>
    <w:rsid w:val="00955738"/>
    <w:rsid w:val="00955B1B"/>
    <w:rsid w:val="009643F8"/>
    <w:rsid w:val="0096723B"/>
    <w:rsid w:val="0097340A"/>
    <w:rsid w:val="009865BE"/>
    <w:rsid w:val="00996528"/>
    <w:rsid w:val="009A00B2"/>
    <w:rsid w:val="009C1BF6"/>
    <w:rsid w:val="00A01A61"/>
    <w:rsid w:val="00A12A3B"/>
    <w:rsid w:val="00A22E8F"/>
    <w:rsid w:val="00A27C9B"/>
    <w:rsid w:val="00A30FA3"/>
    <w:rsid w:val="00A361D0"/>
    <w:rsid w:val="00A4254E"/>
    <w:rsid w:val="00A45A7A"/>
    <w:rsid w:val="00A5157F"/>
    <w:rsid w:val="00A61475"/>
    <w:rsid w:val="00A61C3F"/>
    <w:rsid w:val="00A66783"/>
    <w:rsid w:val="00A732C9"/>
    <w:rsid w:val="00A92154"/>
    <w:rsid w:val="00A9262A"/>
    <w:rsid w:val="00AA0A8A"/>
    <w:rsid w:val="00AC6C1C"/>
    <w:rsid w:val="00AC79F2"/>
    <w:rsid w:val="00AC7ACE"/>
    <w:rsid w:val="00AE1365"/>
    <w:rsid w:val="00B1304E"/>
    <w:rsid w:val="00B14129"/>
    <w:rsid w:val="00B40EB1"/>
    <w:rsid w:val="00B4311E"/>
    <w:rsid w:val="00B632CC"/>
    <w:rsid w:val="00B64325"/>
    <w:rsid w:val="00B75536"/>
    <w:rsid w:val="00B825D1"/>
    <w:rsid w:val="00B97863"/>
    <w:rsid w:val="00BA5358"/>
    <w:rsid w:val="00BB287C"/>
    <w:rsid w:val="00BB6A21"/>
    <w:rsid w:val="00BC3B19"/>
    <w:rsid w:val="00BE24DC"/>
    <w:rsid w:val="00BE4557"/>
    <w:rsid w:val="00BF3FD1"/>
    <w:rsid w:val="00C0359C"/>
    <w:rsid w:val="00C50FFB"/>
    <w:rsid w:val="00C620B5"/>
    <w:rsid w:val="00C83503"/>
    <w:rsid w:val="00C95EC3"/>
    <w:rsid w:val="00CA259C"/>
    <w:rsid w:val="00CA3690"/>
    <w:rsid w:val="00CA5678"/>
    <w:rsid w:val="00CA5776"/>
    <w:rsid w:val="00CA5FF7"/>
    <w:rsid w:val="00CB17C0"/>
    <w:rsid w:val="00CB61A5"/>
    <w:rsid w:val="00CC63DD"/>
    <w:rsid w:val="00CD44CA"/>
    <w:rsid w:val="00CF244D"/>
    <w:rsid w:val="00D002AC"/>
    <w:rsid w:val="00D177DA"/>
    <w:rsid w:val="00D17C9E"/>
    <w:rsid w:val="00D24ED2"/>
    <w:rsid w:val="00D56B31"/>
    <w:rsid w:val="00D76B73"/>
    <w:rsid w:val="00D83191"/>
    <w:rsid w:val="00D96D87"/>
    <w:rsid w:val="00DA1648"/>
    <w:rsid w:val="00DA5F59"/>
    <w:rsid w:val="00DB01D9"/>
    <w:rsid w:val="00DB502D"/>
    <w:rsid w:val="00DB535A"/>
    <w:rsid w:val="00DD6AA1"/>
    <w:rsid w:val="00DF42AF"/>
    <w:rsid w:val="00E027D4"/>
    <w:rsid w:val="00E3114F"/>
    <w:rsid w:val="00E34C8C"/>
    <w:rsid w:val="00E36AB7"/>
    <w:rsid w:val="00E44EC1"/>
    <w:rsid w:val="00E630FD"/>
    <w:rsid w:val="00E851C5"/>
    <w:rsid w:val="00E861AC"/>
    <w:rsid w:val="00E93E9B"/>
    <w:rsid w:val="00E95166"/>
    <w:rsid w:val="00EA6CEC"/>
    <w:rsid w:val="00EE45EC"/>
    <w:rsid w:val="00F00D27"/>
    <w:rsid w:val="00F026DA"/>
    <w:rsid w:val="00F05FDC"/>
    <w:rsid w:val="00F07D91"/>
    <w:rsid w:val="00F11C80"/>
    <w:rsid w:val="00F5002E"/>
    <w:rsid w:val="00F60949"/>
    <w:rsid w:val="00F87480"/>
    <w:rsid w:val="00F958EF"/>
    <w:rsid w:val="00FA0CB3"/>
    <w:rsid w:val="00FC050C"/>
    <w:rsid w:val="00FC537C"/>
    <w:rsid w:val="00FC60A3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7015"/>
  <w15:docId w15:val="{D1197C09-E02A-43CF-8ECA-9133B17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ind w:left="341" w:hanging="284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  <w:ind w:left="284" w:hanging="284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  <w:ind w:left="341" w:hanging="284"/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0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25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2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5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0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2dc65-ecec-4145-b018-523a7f35f6ef" xsi:nil="true"/>
    <lcf76f155ced4ddcb4097134ff3c332f xmlns="d1392e8f-8db2-40b6-89c2-84e22577b53f">
      <Terms xmlns="http://schemas.microsoft.com/office/infopath/2007/PartnerControls"/>
    </lcf76f155ced4ddcb4097134ff3c332f>
    <SharedWithUsers xmlns="c642dc65-ecec-4145-b018-523a7f35f6ef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D4DC865DE454783E0C9DF8A47FC64" ma:contentTypeVersion="15" ma:contentTypeDescription="Create a new document." ma:contentTypeScope="" ma:versionID="0777fc9b035e21c7b4ac267f4a2d6684">
  <xsd:schema xmlns:xsd="http://www.w3.org/2001/XMLSchema" xmlns:xs="http://www.w3.org/2001/XMLSchema" xmlns:p="http://schemas.microsoft.com/office/2006/metadata/properties" xmlns:ns2="d1392e8f-8db2-40b6-89c2-84e22577b53f" xmlns:ns3="c642dc65-ecec-4145-b018-523a7f35f6ef" targetNamespace="http://schemas.microsoft.com/office/2006/metadata/properties" ma:root="true" ma:fieldsID="1f1ecaa4e9737a0d57f02d22241dbf03" ns2:_="" ns3:_="">
    <xsd:import namespace="d1392e8f-8db2-40b6-89c2-84e22577b53f"/>
    <xsd:import namespace="c642dc65-ecec-4145-b018-523a7f35f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2e8f-8db2-40b6-89c2-84e22577b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0b3a9a-9178-4a6d-b079-fdfb03e9f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2dc65-ecec-4145-b018-523a7f35f6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5d9dc4e-2b1d-4133-b935-ec6e9fa8e399}" ma:internalName="TaxCatchAll" ma:showField="CatchAllData" ma:web="c642dc65-ecec-4145-b018-523a7f35f6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A78A4-B713-4081-9D4E-73365BD7A35D}">
  <ds:schemaRefs>
    <ds:schemaRef ds:uri="http://purl.org/dc/terms/"/>
    <ds:schemaRef ds:uri="http://schemas.openxmlformats.org/package/2006/metadata/core-properties"/>
    <ds:schemaRef ds:uri="c642dc65-ecec-4145-b018-523a7f35f6ef"/>
    <ds:schemaRef ds:uri="http://purl.org/dc/dcmitype/"/>
    <ds:schemaRef ds:uri="http://schemas.microsoft.com/office/infopath/2007/PartnerControls"/>
    <ds:schemaRef ds:uri="http://purl.org/dc/elements/1.1/"/>
    <ds:schemaRef ds:uri="d1392e8f-8db2-40b6-89c2-84e22577b53f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84296-1655-4FC4-BAC1-9B581780A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92e8f-8db2-40b6-89c2-84e22577b53f"/>
    <ds:schemaRef ds:uri="c642dc65-ecec-4145-b018-523a7f35f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Fraser, Victoria</dc:creator>
  <cp:lastModifiedBy>Fraser, Victoria</cp:lastModifiedBy>
  <cp:revision>24</cp:revision>
  <cp:lastPrinted>2023-08-09T12:49:00Z</cp:lastPrinted>
  <dcterms:created xsi:type="dcterms:W3CDTF">2023-08-07T14:32:00Z</dcterms:created>
  <dcterms:modified xsi:type="dcterms:W3CDTF">2023-11-01T15:16:00Z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0x010100F57D4DC865DE454783E0C9DF8A47FC64</vt:lpwstr>
  </property>
  <property fmtid="{D5CDD505-2E9C-101B-9397-08002B2CF9AE}" pid="3" name="MediaServiceImageTags">
    <vt:lpwstr/>
  </property>
  <property fmtid="{D5CDD505-2E9C-101B-9397-08002B2CF9AE}" pid="4" name="Order">
    <vt:r8>29800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ClassificationContentMarkingHeaderShapeIds">
    <vt:lpwstr>5b63657e,765c87ae,1d69c428</vt:lpwstr>
  </property>
  <property fmtid="{D5CDD505-2E9C-101B-9397-08002B2CF9AE}" pid="12" name="ClassificationContentMarkingHeaderFontProps">
    <vt:lpwstr>#000000,9,Calibri</vt:lpwstr>
  </property>
  <property fmtid="{D5CDD505-2E9C-101B-9397-08002B2CF9AE}" pid="13" name="ClassificationContentMarkingHeaderText">
    <vt:lpwstr>Confidential</vt:lpwstr>
  </property>
  <property fmtid="{D5CDD505-2E9C-101B-9397-08002B2CF9AE}" pid="14" name="MSIP_Label_b92ee5a2-0c26-41d4-af28-6aaa4a4753cb_Enabled">
    <vt:lpwstr>true</vt:lpwstr>
  </property>
  <property fmtid="{D5CDD505-2E9C-101B-9397-08002B2CF9AE}" pid="15" name="MSIP_Label_b92ee5a2-0c26-41d4-af28-6aaa4a4753cb_SetDate">
    <vt:lpwstr>2023-11-01T15:04:37Z</vt:lpwstr>
  </property>
  <property fmtid="{D5CDD505-2E9C-101B-9397-08002B2CF9AE}" pid="16" name="MSIP_Label_b92ee5a2-0c26-41d4-af28-6aaa4a4753cb_Method">
    <vt:lpwstr>Standard</vt:lpwstr>
  </property>
  <property fmtid="{D5CDD505-2E9C-101B-9397-08002B2CF9AE}" pid="17" name="MSIP_Label_b92ee5a2-0c26-41d4-af28-6aaa4a4753cb_Name">
    <vt:lpwstr>Confidential</vt:lpwstr>
  </property>
  <property fmtid="{D5CDD505-2E9C-101B-9397-08002B2CF9AE}" pid="18" name="MSIP_Label_b92ee5a2-0c26-41d4-af28-6aaa4a4753cb_SiteId">
    <vt:lpwstr>0843acec-fd3e-49be-bd54-18c6048a3fd0</vt:lpwstr>
  </property>
  <property fmtid="{D5CDD505-2E9C-101B-9397-08002B2CF9AE}" pid="19" name="MSIP_Label_b92ee5a2-0c26-41d4-af28-6aaa4a4753cb_ActionId">
    <vt:lpwstr>32f34e98-6ae5-42c8-ba75-d943abd7d491</vt:lpwstr>
  </property>
  <property fmtid="{D5CDD505-2E9C-101B-9397-08002B2CF9AE}" pid="20" name="MSIP_Label_b92ee5a2-0c26-41d4-af28-6aaa4a4753cb_ContentBits">
    <vt:lpwstr>1</vt:lpwstr>
  </property>
</Properties>
</file>