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48840" cy="722047"/>
            <wp:docPr id="1" name="Picture 1" title="GoTek logo" descr="GoTek brand logo used for the developer handoff docu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tek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722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80" w:after="140" w:line="240" w:lineRule="auto"/>
        <w:jc w:val="center"/>
      </w:pPr>
      <w:r>
        <w:rPr>
          <w:rFonts w:ascii="Arial" w:hAnsi="Arial"/>
          <w:b/>
          <w:i w:val="0"/>
          <w:color w:val="000000"/>
          <w:sz w:val="48"/>
        </w:rPr>
        <w:t>GoTek Chatbot Environment And Database Handoff</w:t>
      </w:r>
    </w:p>
    <w:p>
      <w:pPr>
        <w:pStyle w:val="Subtitle"/>
        <w:spacing w:before="0" w:after="360" w:line="259" w:lineRule="auto"/>
        <w:jc w:val="center"/>
      </w:pPr>
      <w:r>
        <w:rPr>
          <w:rFonts w:ascii="Arial" w:hAnsi="Arial"/>
          <w:b w:val="0"/>
          <w:i w:val="0"/>
          <w:color w:val="4A5568"/>
          <w:sz w:val="24"/>
        </w:rPr>
        <w:t>Local Test Configuration And Developer Runbook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8496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Current value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Product</w:t>
            </w:r>
          </w:p>
        </w:tc>
        <w:tc>
          <w:tcPr>
            <w:tcW w:type="dxa" w:w="849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GoTek Chatbot multi-business customer chat with tenant-scoped widget, knowledge, AI and staff handoff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Document purpose</w:t>
            </w:r>
          </w:p>
        </w:tc>
        <w:tc>
          <w:tcPr>
            <w:tcW w:type="dxa" w:w="849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Give a new developer one practical reference for .env, PostgreSQL, migrations, workers and safe local verification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Repository</w:t>
            </w:r>
          </w:p>
        </w:tc>
        <w:tc>
          <w:tcPr>
            <w:tcW w:type="dxa" w:w="849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https://github.com/GoTekIT/GoTek-ChatBOT.git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Branch</w:t>
            </w:r>
          </w:p>
        </w:tc>
        <w:tc>
          <w:tcPr>
            <w:tcW w:type="dxa" w:w="849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codex/chatbot-delivery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Status</w:t>
            </w:r>
          </w:p>
        </w:tc>
        <w:tc>
          <w:tcPr>
            <w:tcW w:type="dxa" w:w="849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MVP in progress; documentation handoff; no production deployment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Source snapshot</w:t>
            </w:r>
          </w:p>
        </w:tc>
        <w:tc>
          <w:tcPr>
            <w:tcW w:type="dxa" w:w="849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Verify current commit with git log -1 before changing configuration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Prepared</w:t>
            </w:r>
          </w:p>
        </w:tc>
        <w:tc>
          <w:tcPr>
            <w:tcW w:type="dxa" w:w="849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28 September 2026</w:t>
            </w:r>
          </w:p>
        </w:tc>
      </w:tr>
    </w:tbl>
    <w:p>
      <w:pPr>
        <w:spacing w:after="20"/>
      </w:pPr>
    </w:p>
    <w:p>
      <w:pPr>
        <w:spacing w:before="0" w:after="80" w:line="259" w:lineRule="auto"/>
      </w:pPr>
      <w:r>
        <w:rPr>
          <w:rFonts w:ascii="Arial" w:hAnsi="Arial"/>
          <w:b/>
          <w:i w:val="0"/>
          <w:color w:val="000000"/>
          <w:sz w:val="20"/>
        </w:rPr>
        <w:t>Read this document before creating a local .env, changing database access, adding a provider secret or starting a worker. The source currently uses explicit process environment variables and a local runtime file; it does not automatically load .env.</w:t>
      </w:r>
    </w:p>
    <w:p>
      <w:pPr>
        <w:spacing w:before="0" w:after="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All provider values in this document are placeholders. Never copy a real API key, password, cookie, JWT or private key into the repository, the document, a screenshot or an evidence file.</w:t>
      </w: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How To Use This Handoff</w:t>
      </w: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This is an operational handoff, not a production deployment runbook. It explains what the repository does today, how to reproduce the local database, where configuration comes from, and which claims still require a staging or provider decision.</w:t>
      </w:r>
    </w:p>
    <w:p>
      <w:pPr>
        <w:spacing w:before="0" w:after="100" w:line="259" w:lineRule="auto"/>
      </w:pPr>
      <w:r>
        <w:rPr>
          <w:rFonts w:ascii="Arial" w:hAnsi="Arial"/>
          <w:b/>
          <w:i w:val="0"/>
          <w:color w:val="000000"/>
          <w:sz w:val="20"/>
        </w:rPr>
        <w:t xml:space="preserve">Source of truth. </w:t>
      </w:r>
      <w:r>
        <w:rPr>
          <w:rFonts w:ascii="Arial" w:hAnsi="Arial"/>
          <w:b w:val="0"/>
          <w:i w:val="0"/>
          <w:color w:val="000000"/>
          <w:sz w:val="20"/>
        </w:rPr>
        <w:t>Use the current source code, migrations and linked evidence in the repository as the authority. HiChat remains a product reference; its private backend is not inferred.</w:t>
      </w:r>
    </w:p>
    <w:p>
      <w:pPr>
        <w:spacing w:before="0" w:after="100" w:line="259" w:lineRule="auto"/>
      </w:pPr>
      <w:r>
        <w:rPr>
          <w:rFonts w:ascii="Arial" w:hAnsi="Arial"/>
          <w:b/>
          <w:i w:val="0"/>
          <w:color w:val="000000"/>
          <w:sz w:val="20"/>
        </w:rPr>
        <w:t xml:space="preserve">Status language. </w:t>
      </w:r>
      <w:r>
        <w:rPr>
          <w:rFonts w:ascii="Arial" w:hAnsi="Arial"/>
          <w:b w:val="0"/>
          <w:i w:val="0"/>
          <w:color w:val="000000"/>
          <w:sz w:val="20"/>
        </w:rPr>
        <w:t>Implemented means code exists. Verified means a local check or evidence file passed. Accepted requires the appropriate browser, provider, owner or staging gate. Unknown facts are marked UNKNOWN / NEEDS VERIFICATION.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Contents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1. Current configuration at a glance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2. Environment loading and .env workflow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3. Complete environment variable reference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4. Provider secrets and AI adapters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5. Worker profiles and commands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6. PostgreSQL architecture and connection roles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7. Database bootstrap and migration workflow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8. Tenant scope RLS and data invariants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9. Schema map and migration index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10. Backup restore and recovery drill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11. Verification troubleshooting and handoff checklist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12. Open decisions and source references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First 15 Minutes For A New Developer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Read README.md, docs/00-START-HERE.md, docs/PROJECT-STATUS.md and docs/HANDOFF.md.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Read docs/ENVIRONMENT.md and compare it with this Word guide before adding a variable.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Check git status and confirm .env and .local/runtime.json are ignored.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Prepare a private PostgreSQL cluster on port 55432; do not reuse a shared or production database.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Run npm ci, npm run db:setup, npm run build and npm test according to the evidence gates.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Only after local checks pass, configure a provider secret on the server side and run an authorized test receipt.</w:t>
      </w: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1 Current Configuration At A Glance</w:t>
      </w: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The local runtime is one Express process with Vite middleware plus independent PostgreSQL-backed workers. The frontend and API are served through the same local entrypoint at 127.0.0.1:4317. Workers must be started separately and each reads its own process environment.</w:t>
      </w:r>
    </w:p>
    <w:p>
      <w:pPr>
        <w:spacing w:before="0" w:after="120" w:line="259" w:lineRule="auto"/>
      </w:pPr>
      <w:r>
        <w:rPr>
          <w:rFonts w:ascii="Arial" w:hAnsi="Arial"/>
          <w:b/>
          <w:i w:val="0"/>
          <w:color w:val="000000"/>
          <w:sz w:val="20"/>
        </w:rPr>
        <w:t>Checkout evidence at this snapshot: the repository root has no real .env file; .env.example is tracked as a placeholder; .local/runtime.json exists locally and is ignored. The expected private .env path, when a developer creates it, is the repository root: /Users/ngxuanphu/Documents/ChatGPT/GoTek ChatBOT - CTO/.env. Never copy real values into the tracked template or this Word handoff.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Area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Current implementation</w:t>
            </w:r>
          </w:p>
        </w:tc>
        <w:tc>
          <w:tcPr>
            <w:tcW w:type="dxa" w:w="3816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 boundary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Web server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src/server/index.ts; Express 5; Vite middleware unless SERVE_BUILD=true</w:t>
            </w:r>
          </w:p>
        </w:tc>
        <w:tc>
          <w:tcPr>
            <w:tcW w:type="dxa" w:w="381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Local/test only; NODE_ENV=production is rejected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Database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PostgreSQL via pg and parameterized SQL; no ORM</w:t>
            </w:r>
          </w:p>
        </w:tc>
        <w:tc>
          <w:tcPr>
            <w:tcW w:type="dxa" w:w="381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Local bootstrap is established; non-local deployment topology is UNKNOWN / NEEDS VERIFICATION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App role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gotek_app generated by setup; NOSUPERUSER and NOBYPASSRLS</w:t>
            </w:r>
          </w:p>
        </w:tc>
        <w:tc>
          <w:tcPr>
            <w:tcW w:type="dxa" w:w="381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Do not run the web app with gotek_migrator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Migrations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db/migrations/*.sql applied lexicographically through schema_migrations</w:t>
            </w:r>
          </w:p>
        </w:tc>
        <w:tc>
          <w:tcPr>
            <w:tcW w:type="dxa" w:w="381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Latest inspected filename: 056_model_grant_expiry.sql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Secrets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Provider rows store secret_ref names; values stay in server environment</w:t>
            </w:r>
          </w:p>
        </w:tc>
        <w:tc>
          <w:tcPr>
            <w:tcW w:type="dxa" w:w="381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No secret is shipped to browser, widget or job payload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Workers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AI reply, embedding and web refresh workers use durable PostgreSQL jobs or explicit batch input</w:t>
            </w:r>
          </w:p>
        </w:tc>
        <w:tc>
          <w:tcPr>
            <w:tcW w:type="dxa" w:w="381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External receipt, cost and production supervision remain open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Deployment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No approved production hosting, Docker or CI/CD was established</w:t>
            </w:r>
          </w:p>
        </w:tc>
        <w:tc>
          <w:tcPr>
            <w:tcW w:type="dxa" w:w="381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Staging and production are not complete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Runtime Configuration Flow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Copy the tracked .env.example to a private local .env file.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Export the variables in the shell. The backend does not load dotenv automatically.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The app uses DATABASE_URL when non-empty; otherwise it reads .local/runtime.json.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The provider registry supplies only a secret_ref name; the server resolves process.env[secret_ref] immediately before provider I/O.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The app and every worker must be restarted after an environment change.</w:t>
      </w: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2 Environment Loading And Env Workflow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What The Repository Does Not Do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There is no dotenv dependency or automatic .env loader.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PORT, HOST, CORS_ORIGIN and generic PostgreSQL pool variables are not read by the current source.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The server bind is fixed at 127.0.0.1:4317 in src/server/index.ts.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NODE_ENV=production intentionally stops the server and worker entrypoints. This is a safety gate, not a production configuration.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Safe Local Setup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cd /path/to/GoTek-ChatBOT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cp .env.example .env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set -a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source .env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set +a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 xml:space="preserve"> 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npm ci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# Start a dedicated local PostgreSQL cluster first, then: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npm run db:setup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npm run dev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 xml:space="preserve"> 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# Open the local application: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# http://127.0.0.1:4317</w:t>
      </w:r>
    </w:p>
    <w:p>
      <w:pPr>
        <w:spacing w:before="0" w:after="40" w:line="259" w:lineRule="auto"/>
      </w:pP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Do not commit .env or .local/runtime.json. Both are ignored by .gitignore. Keep the file permissions and local cluster private. Do not create a guessed runtime.json by hand when setup has not completed.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Profile For An Existing Test Database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export DATABASE_URL='postgresql://user:password@host:5432/gotek_chatbot'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export APP_ORIGIN='http://127.0.0.1:4317'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export COOKIE_SECURE='false'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npm run dev</w:t>
      </w:r>
    </w:p>
    <w:p>
      <w:pPr>
        <w:spacing w:before="0" w:after="40" w:line="259" w:lineRule="auto"/>
      </w:pP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Use this only for a database explicitly provisioned for local/test and tenant-isolation checks. The setup script still bootstraps its own local cluster configuration; migration behavior for an external database is UNKNOWN / NEEDS VERIFICATION.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Preview The Frontend Build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npm run build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SERVE_BUILD=true npm run dev</w:t>
      </w:r>
    </w:p>
    <w:p>
      <w:pPr>
        <w:spacing w:before="0" w:after="40" w:line="259" w:lineRule="auto"/>
      </w:pP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SERVE_BUILD=true changes only how the frontend is served after a build. It does not enable production mode or create a deployable production server.</w:t>
      </w: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3 Complete Environment Variable Reference</w:t>
      </w: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The values below are derived from process.env references in src/server, scripts and the existing .env.example. A blank value in the template means the variable is not required for the base local profile; it does not mean a secret is optional when a provider is enabled.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Variable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Required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Default or effect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Read by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Developer meaning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DATABASE_URL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 for local fallback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Empty/unset -&gt; .local/runtime.json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src/server/db.ts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PostgreSQL connection string override. Do not export an empty fake URL.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NODE_ENV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development recommended; production rejected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server and worker entrypoints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Controls the explicit local/test safety guard.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SERVE_BUILD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Anything except true -&gt; Vite middleware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src/server/index.ts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Set true only after npm run build for local preview.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APP_ORIGIN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http://127.0.0.1:4317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app.ts, channels.ts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Exact origin used for CSRF and widget installation metadata.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COOKIE_SECURE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false for local HTTP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src/server/app.ts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Set true only when the actual browser origin uses HTTPS.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GOTEK_DEFAULT_AI_RESPONSE_QUOTA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1000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src/server/app.ts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Default budget on new signup only; does not change existing workspaces.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GOTEK_WORKER_WORKSPACE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Worker-specific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None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AI, embedding and web scripts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UUID of the trusted worker tenant; never comes from a widget body.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GOTEK_KNOWLEDGE_VERSION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Embedding worker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None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scripts/embed-knowledge.ts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UUID of the version selected for embedding.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GOTEK_EMBEDDING_MODEL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Embedding worker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None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scripts/embed-knowledge.ts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UUID of a granted active embedding model.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GOTEK_EMBEDDING_BATCH_SIZE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20; valid 1..100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scripts/embed-knowledge.ts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Chunk batch size, not a provider token limit.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GOTEK_PROMPT_MICROS_PER_1K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src/server/ai-reply-worker.ts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Internal micro-unit rate for 1,000 prompt tokens.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GOTEK_COMPLETION_MICROS_PER_1K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</w:t>
            </w:r>
          </w:p>
        </w:tc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src/server/ai-reply-worker.ts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Internal micro-unit rate for 1,000 completion tokens.</w:t>
            </w:r>
          </w:p>
        </w:tc>
      </w:tr>
    </w:tbl>
    <w:p>
      <w:pPr>
        <w:spacing w:after="20"/>
      </w:pPr>
    </w:p>
    <w:p>
      <w:pPr>
        <w:spacing w:before="0" w:after="8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The two *_MICROS_PER_1K variables are parsed as non-negative BigInt values. Use digits only. They are internal ledger rates, not vendor pricing, a payment authorization or a production billing policy. Missing provider token usage can be estimated from text; that estimate is not an external receipt.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Test-Only Variable</w:t>
      </w: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tests/grounded-widget-flow.test.ts temporarily sets GOTEK_GROUNDED_TEST_KEY as a fixture-only secret and removes it after the test. It is not a runtime setting and must not be filled with a real API key.</w:t>
      </w: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4 Provider Secrets And AI Adapters</w:t>
      </w: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A Platform Admin creates a provider with a secretRef name. The database stores that name, such as GOTEK_OPENAI_API_KEY, but never stores the key value. When a provider is enabled or a worker is about to call it, server code checks process.env[secret_ref].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5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Adapter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Endpoint behavior</w:t>
            </w:r>
          </w:p>
        </w:tc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Secret handling</w:t>
            </w:r>
          </w:p>
        </w:tc>
        <w:tc>
          <w:tcPr>
            <w:tcW w:type="dxa" w:w="3311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Current status</w:t>
            </w:r>
          </w:p>
        </w:tc>
      </w:tr>
      <w:tr>
        <w:trPr>
          <w:cantSplit/>
        </w:trPr>
        <w:tc>
          <w:tcPr>
            <w:tcW w:type="dxa" w:w="1655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openai / chatgpt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OpenAI-compatible chat completions when baseUrl is absent</w:t>
            </w:r>
          </w:p>
        </w:tc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Exact secret_ref variable in server process</w:t>
            </w:r>
          </w:p>
        </w:tc>
        <w:tc>
          <w:tcPr>
            <w:tcW w:type="dxa" w:w="3311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Transport and injected tests exist; live receipt UNKNOWN / NEEDS VERIFICATION</w:t>
            </w:r>
          </w:p>
        </w:tc>
      </w:tr>
      <w:tr>
        <w:trPr>
          <w:cantSplit/>
        </w:trPr>
        <w:tc>
          <w:tcPr>
            <w:tcW w:type="dxa" w:w="1655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gemini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Google Generative Language generateContent when baseUrl is absent</w:t>
            </w:r>
          </w:p>
        </w:tc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Exact secret_ref variable in server process</w:t>
            </w:r>
          </w:p>
        </w:tc>
        <w:tc>
          <w:tcPr>
            <w:tcW w:type="dxa" w:w="3311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Transport exists; authorized model and live receipt required</w:t>
            </w:r>
          </w:p>
        </w:tc>
      </w:tr>
      <w:tr>
        <w:trPr>
          <w:cantSplit/>
        </w:trPr>
        <w:tc>
          <w:tcPr>
            <w:tcW w:type="dxa" w:w="1655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anthropic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Anthropic Messages API when baseUrl is absent</w:t>
            </w:r>
          </w:p>
        </w:tc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Exact secret_ref variable in server process</w:t>
            </w:r>
          </w:p>
        </w:tc>
        <w:tc>
          <w:tcPr>
            <w:tcW w:type="dxa" w:w="3311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Transport exists; authorized model and live receipt required</w:t>
            </w:r>
          </w:p>
        </w:tc>
      </w:tr>
      <w:tr>
        <w:trPr>
          <w:cantSplit/>
        </w:trPr>
        <w:tc>
          <w:tcPr>
            <w:tcW w:type="dxa" w:w="1655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claude_code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Currently uses the Anthropic-compatible transport</w:t>
            </w:r>
          </w:p>
        </w:tc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Exact secret_ref variable in server process</w:t>
            </w:r>
          </w:p>
        </w:tc>
        <w:tc>
          <w:tcPr>
            <w:tcW w:type="dxa" w:w="3311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Does not prove a Claude Code CLI process; product decision remains open</w:t>
            </w:r>
          </w:p>
        </w:tc>
      </w:tr>
      <w:tr>
        <w:trPr>
          <w:cantSplit/>
        </w:trPr>
        <w:tc>
          <w:tcPr>
            <w:tcW w:type="dxa" w:w="1655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custom_llm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Requires an HTTPS baseUrl and provider target policy</w:t>
            </w:r>
          </w:p>
        </w:tc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Exact secret_ref variable in server process</w:t>
            </w:r>
          </w:p>
        </w:tc>
        <w:tc>
          <w:tcPr>
            <w:tcW w:type="dxa" w:w="3311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Needs endpoint contract and receipt verification</w:t>
            </w:r>
          </w:p>
        </w:tc>
      </w:tr>
      <w:tr>
        <w:trPr>
          <w:cantSplit/>
        </w:trPr>
        <w:tc>
          <w:tcPr>
            <w:tcW w:type="dxa" w:w="1655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local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No inference engine</w:t>
            </w:r>
          </w:p>
        </w:tc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No transport secret dereference</w:t>
            </w:r>
          </w:p>
        </w:tc>
        <w:tc>
          <w:tcPr>
            <w:tcW w:type="dxa" w:w="3311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Represents not configured; it does not produce an AI answer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Provider Secret Example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# These are names and placeholder values only.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# Replace only in a private local secret store.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export GOTEK_OPENAI_API_KEY='replace-locally'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export GOTEK_GEMINI_API_KEY='replace-locally'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export GOTEK_ANTHROPIC_API_KEY='replace-locally'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export GOTEK_CUSTOM_LLM_API_KEY='replace-locally'</w:t>
      </w:r>
    </w:p>
    <w:p>
      <w:pPr>
        <w:spacing w:before="0" w:after="40" w:line="259" w:lineRule="auto"/>
      </w:pP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Export the variable in the same shell that runs the server or worker, then restart that process.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Use the exact uppercase secret_ref stored in the provider row. Do not invent a second name.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Never put a provider key in POST /api/platform/providers, the UI, widget payload, job payload, audit export, logs or Git.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A provider transport or injected test proves parsing and stable errors, not vendor availability, cost or grounding quality.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Provider Configuration Sequence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Register provider with adapter, secretRef and optional baseUrl.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Export the matching server-side secret and restart the relevant process.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Create and enable a model with chat or embedding capability.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Grant the model to the intended workspace and capability; check expiry and active state.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Run the authorized connectivity test and save the redacted result in delivery/evidence.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For grounded AI, use a PUBLIC and READY knowledge version and verify tenant, source and ownership fences.</w:t>
      </w: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5 Worker Profiles And Commands</w:t>
      </w: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Workers are independent processes. A new terminal does not inherit variables from another terminal. Use a real UUID from the local/test database, never an ID copied from another tenant or a production account.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AI Reply Worker For One Workspace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set -a; source .env; set +a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export GOTEK_WORKER_WORKSPACE='00000000-0000-4000-8000-000000000000'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npm run worker:ai -- --once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 xml:space="preserve"> 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# Remove --once for the loop mode.</w:t>
      </w:r>
    </w:p>
    <w:p>
      <w:pPr>
        <w:spacing w:before="0" w:after="40" w:line="259" w:lineRule="auto"/>
      </w:pP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The worker validates workspace state, model grant, publication, quota, ownership version, dispatch fence and provider secret before committing an answer. A stale or unknown external outcome is not blindly resent.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AI Discovery Mode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set -a; source .env; set +a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unset GOTEK_WORKER_WORKSPACE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npm run worker:ai -- --all --once</w:t>
      </w:r>
    </w:p>
    <w:p>
      <w:pPr>
        <w:spacing w:before="0" w:after="40" w:line="259" w:lineRule="auto"/>
      </w:pP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Do not pass --all together with GOTEK_WORKER_WORKSPACE. Discovery is a trusted scheduler path, never a widget path.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Embedding Worker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set -a; source .env; set +a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GOTEK_WORKER_WORKSPACE='00000000-0000-4000-8000-000000000000' \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GOTEK_KNOWLEDGE_VERSION='00000000-0000-4000-8000-000000000001' \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GOTEK_EMBEDDING_MODEL='00000000-0000-4000-8000-000000000002' \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npm run worker:embedding</w:t>
      </w:r>
    </w:p>
    <w:p>
      <w:pPr>
        <w:spacing w:before="0" w:after="40" w:line="259" w:lineRule="auto"/>
      </w:pP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The selected version and model must belong to the intended tenant, remain current and have an active embedding grant. Embeddings are stored in knowledge_chunks as JSONB; no pgvector index is implemented.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Web Refresh Worker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set -a; source .env; set +e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GOTEK_WORKER_WORKSPACE='00000000-0000-4000-8000-000000000000' \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npm run worker:web -- --once</w:t>
      </w:r>
    </w:p>
    <w:p>
      <w:pPr>
        <w:spacing w:before="0" w:after="40" w:line="259" w:lineRule="auto"/>
      </w:pP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The web worker uses bounded static fetch and sitemap policy. It is not a JavaScript browser crawler and does not automatically publish a web generation.</w:t>
      </w: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6 PostgreSQL Architecture And Connection Roles</w:t>
      </w: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The application uses PostgreSQL through the pg package and raw parameterized SQL. There is no ORM. Database structure is defined by db/migrations/*.sql; the application role should not have superuser or BYPASSRLS privileges.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Role or connection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Purpose</w:t>
            </w:r>
          </w:p>
        </w:tc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Where configured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Do not do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gotek_migrator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Local schema bootstrap, migration and restore-drill administration</w:t>
            </w:r>
          </w:p>
        </w:tc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UNIX socket /tmp, port 55432 in scripts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 not run the web application with this role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gotek_app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Application runtime role created by setup</w:t>
            </w:r>
          </w:p>
        </w:tc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.local/runtime.json or DATABASE_URL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 not grant SUPERUSER, BYPASSRLS, CREATEDB or CREATEROLE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DATABASE_URL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Optional runtime connection override</w:t>
            </w:r>
          </w:p>
        </w:tc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Process environment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 not commit the URL or use an unverified shared database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schema_migrations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Applied migration filename ledger</w:t>
            </w:r>
          </w:p>
        </w:tc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Created by scripts/setup-db.ts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 not delete rows to force a migration to rerun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Local Cluster Parameters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Parameter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Current source value</w:t>
            </w:r>
          </w:p>
        </w:tc>
      </w:tr>
      <w:tr>
        <w:trPr>
          <w:cantSplit/>
        </w:trPr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Cluster data directory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.local/postgres</w:t>
            </w:r>
          </w:p>
        </w:tc>
      </w:tr>
      <w:tr>
        <w:trPr>
          <w:cantSplit/>
        </w:trPr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PostgreSQL port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55432</w:t>
            </w:r>
          </w:p>
        </w:tc>
      </w:tr>
      <w:tr>
        <w:trPr>
          <w:cantSplit/>
        </w:trPr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Admin socket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/tmp</w:t>
            </w:r>
          </w:p>
        </w:tc>
      </w:tr>
      <w:tr>
        <w:trPr>
          <w:cantSplit/>
        </w:trPr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Migration role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gotek_migrator</w:t>
            </w:r>
          </w:p>
        </w:tc>
      </w:tr>
      <w:tr>
        <w:trPr>
          <w:cantSplit/>
        </w:trPr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Application database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gotek_chatbot</w:t>
            </w:r>
          </w:p>
        </w:tc>
      </w:tr>
      <w:tr>
        <w:trPr>
          <w:cantSplit/>
        </w:trPr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Runtime credential file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.local/runtime.json, mode 0600</w:t>
            </w:r>
          </w:p>
        </w:tc>
      </w:tr>
      <w:tr>
        <w:trPr>
          <w:cantSplit/>
        </w:trPr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App bind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127.0.0.1:4317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Database Data Flow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setup-db.ts connects as gotek_migrator, creates gotek_app and the gotek_chatbot database when missing, then applies migrations in lexicographic filename order.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src/server/db.ts connects as the runtime app role using DATABASE_URL or the local runtime JSON.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Each request transaction sets app.workspace_id for tenant RLS; platform operations use app.platform and app.actor_id.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Workers use the same transaction-local scope and durable PostgreSQL jobs; there is no Redis, queue broker or separate object store in the inspected source.</w:t>
      </w:r>
    </w:p>
    <w:p>
      <w:pPr>
        <w:pStyle w:val="ListNumber"/>
        <w:spacing w:before="0" w:after="60" w:line="259" w:lineRule="auto"/>
        <w:ind w:left="403" w:hanging="259"/>
      </w:pPr>
      <w:r>
        <w:rPr>
          <w:rFonts w:ascii="Arial" w:hAnsi="Arial"/>
          <w:b w:val="0"/>
          <w:i w:val="0"/>
          <w:color w:val="000000"/>
          <w:sz w:val="20"/>
        </w:rPr>
        <w:t>Knowledge imports, including file bytes, are database-backed. Embeddings are JSONB with model and shape metadata, not pgvector.</w:t>
      </w: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7 Database Bootstrap And Migration Workflow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Prepare A Dedicated Local Cluster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mkdir -p .local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initdb -D .local/postgres -U gotek_migrator \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 xml:space="preserve">  --auth-local=trust --auth-host=scram-sha-256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pg_ctl -D .local/postgres -l .local/postgres.log \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 xml:space="preserve">  -o "-p 55432 -k /tmp -h 127.0.0.1" start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npm run db:setup</w:t>
      </w:r>
    </w:p>
    <w:p>
      <w:pPr>
        <w:spacing w:before="0" w:after="40" w:line="259" w:lineRule="auto"/>
      </w:pP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If the cluster already exists, run pg_ctl -D .local/postgres status first. Do not run initdb again on a cluster that contains data, and do not delete the cluster to resolve an unknown error.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What db setup Does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Reads or creates .local/runtime.json and generates a random gotek_app password on a fresh local profile.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Connects as gotek_migrator through /tmp:55432 to create the application role and database.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Creates schema_migrations if needed.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Sorts all filenames in db/migrations and applies only names not present in schema_migrations.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Wraps each migration in BEGIN/COMMIT and rolls it back on failure.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Writes the local runtime credential file with mode 0600.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Migration Rules For A New Developer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Read all later migrations after the table definition you plan to change; later files add columns, constraints, indexes, policies and reconciliation behavior.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Use a new ordered migration for schema changes. Do not rewrite an applied migration without explicit authorization.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There are two different 048 filenames. The full filename is the migration identity, not the numeric prefix alone.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The latest inspected migration is 056_model_grant_expiry.sql. Deployed migration state outside local/test is UNKNOWN / NEEDS VERIFICATION.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There is no general demo seed script or automatic Platform Admin bootstrap. Tests create fixtures; local users should be created through signup or explicit administration.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Migrations That May Affect Existing Data</w:t>
      </w: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Historical ALTER, reconciliation, publication, contact and quota migrations can change existing rows or constraints. Before applying a new migration to any non-test dataset, obtain an approved backup, verify the restore path and record the change in the handoff checkpoint.</w:t>
      </w: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8 Tenant Scope RLS And Data Invariants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Tenant And Platform Boundaries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Boundary</w:t>
            </w:r>
          </w:p>
        </w:tc>
        <w:tc>
          <w:tcPr>
            <w:tcW w:type="dxa" w:w="4968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Current rule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Verification caution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Workspace tenant</w:t>
            </w:r>
          </w:p>
        </w:tc>
        <w:tc>
          <w:tcPr>
            <w:tcW w:type="dxa" w:w="496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Derive workspace from authenticated membership or validated widget credential. Never trust a client workspace_id as authorization.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 passing route test is not a full browser or staging acceptance.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RLS context</w:t>
            </w:r>
          </w:p>
        </w:tc>
        <w:tc>
          <w:tcPr>
            <w:tcW w:type="dxa" w:w="496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Set transaction-local app.workspace_id before tenant queries. Force RLS applies to domain tables.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Identity tables deliberately form a trusted non-RLS boundary.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Platform admin</w:t>
            </w:r>
          </w:p>
        </w:tc>
        <w:tc>
          <w:tcPr>
            <w:tcW w:type="dxa" w:w="496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Use active platform_admins membership plus app.platform and app.actor_id.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Platform Admin does not automatically gain private tenant chat access.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Support</w:t>
            </w:r>
          </w:p>
        </w:tc>
        <w:tc>
          <w:tcPr>
            <w:tcW w:type="dxa" w:w="496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Use scoped, expiring and audited support grants.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Never replace a grant with a blanket admin bypass.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Widget visitor</w:t>
            </w:r>
          </w:p>
        </w:tc>
        <w:tc>
          <w:tcPr>
            <w:tcW w:type="dxa" w:w="496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Public key identifies a channel; visitor bearer token identifies the visitor session.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Provider secrets, internal notes and private knowledge never belong in widget responses.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Important Data Invariants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Active membership roles are Owner, Admin and Agent. The last active Owner is protected transactionally.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Sessions and challenges store token hashes. Reset challenges are single-use and reset invalidates sessions.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Messages use tenant/conversation scope, sequence constraints and client ID idempotency. Internal notes are distinct from public messages.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Knowledge drafts are processed to READY and explicitly published. Visitor retrieval is PUBLIC-only and current-source checked.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Model grants can expire. Provider and model state, capability and workspace state are checked before model use.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AI dispatch, quota reservation, unknown outcomes and ownership version fences prevent blind duplicate provider calls or stale replies.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Audit records are append-oriented. Do not repair usage, queue or dispatch state with ad hoc deletes.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Database Changes That Require A Checkpoint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New migration or policy change.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Change to tenant predicates, app.workspace_id, app.platform or app.actor_id.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Change to provider secret resolution, quota reservation or dispatch unknown state.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Change to retention, workspace closure or destructive deletion. H32.05 requires an owner decision before purge implementation.</w:t>
      </w: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9 Schema Map And Migration Index</w:t>
      </w: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The following table maps the initial definition of important tables. Later migrations may add columns, constraints, indexes or RLS policies. Always inspect the entire migration sequence before changing a table.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Domain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Tables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Initial migration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Identity and tenant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users; workspaces; memberships; sessions; challenges; local_delivery; invitations; audit_events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001_identity.sql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Quota and jobs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quota_budgets; usage_operations; jobs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002_quota.sql; 004_jobs.sql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Platform AI registry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platform_admins; providers; models; model_grants; platform_audit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005_platform.sql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Support and channels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support_grants; channels; channel_members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006_support.sql; 007_channels.sql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Chat and visitors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visitors; conversations; messages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008_chat.sql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AI rules and sources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ai_rules; web_sources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015_ai_rules.sql; 017_web_sources.sql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Knowledge lifecycle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knowledge_items; knowledge_versions; knowledge_mutations; knowledge_categories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019_knowledge.sql; 020_knowledge_categories.sql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Collection and citations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data_collection_configs; data_collection_completions; data_collection_outbox; data_collection_mutations; active_citations; active_citation_sources; active_citation_permissions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022_data_collection.sql; 023_active_citations.sql; 024_citation_schema_reconciliation.sql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Onboarding and platform agent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onboarding_sources; platform_agent_sessions; platform_agent_messages; platform_agent_requests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025_onboarding.sql; 026_platform_ai_agent.sql; 037_platform_agent_requests.sql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Usage and retrieval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ai_usage_ledger; knowledge_chunks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028_ai_usage_ledger.sql; 030_knowledge_chunks.sql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Knowledge imports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knowledge_imports; knowledge_import_files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035_knowledge_imports.sql; 036_knowledge_import_files.sql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Web snapshots and generations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web_source_snapshots; web_snapshot_knowledge; web_source_document_groups; web_source_generations; web_source_generation_parts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039_web_source_snapshots.sql; 040_web_snapshot_knowledge.sql; 041_web_source_generations.sql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Contacts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contacts; contact_merge_history; contact_tags; contact_tag_links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042_contacts.sql; 046_contact_merge_history.sql; 047_contact_tags.sql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AI dispatch and schedules</w:t>
            </w:r>
          </w:p>
        </w:tc>
        <w:tc>
          <w:tcPr>
            <w:tcW w:type="dxa" w:w="604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ai_reply_dispatches; web_source_schedules and related indexes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052_ai_reply_dispatch_fence.sql; 054_web_source_schedule.sql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Full Migration Filename Index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Migration filename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Migration filename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001_identity.sql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002_quota.sql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003_quota_lock.sql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004_jobs.sql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005_platform.sql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006_support.sql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007_channels.sql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008_chat.sql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009_channel_member_lock.sql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010_widget_bootstrap.sql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011_channel_assignment.sql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012_channel_hours_prechat.sql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013_visitor_profile.sql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014_widget_config.sql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015_ai_rules.sql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016_ai_rules_idempotency.sql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017_web_sources.sql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018_web_source_policy.sql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019_knowledge.sql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020_knowledge_categories.sql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021_knowledge_lifecycle.sql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022_data_collection.sql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023_active_citations.sql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024_citation_schema_reconciliation.sql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025_onboarding.sql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026_platform_ai_agent.sql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027_platform_agent_rlS.sql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028_ai_usage_ledger.sql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029_ai_usage_ledger_fk.sql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030_knowledge_chunks.sql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031_knowledge_chunk_tenant_fk.sql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032_ai_usage_total_bound.sql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033_ai_usage_drop_exact_total.sql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034_knowledge_chunk_embeddings.sql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035_knowledge_imports.sql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036_knowledge_import_files.sql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037_platform_agent_requests.sql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038_worker_tenant_discovery.sql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039_web_source_snapshots.sql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040_web_snapshot_knowledge.sql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041_web_source_generations.sql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042_contacts.sql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043_contact_revision.sql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044_contact_soft_delete.sql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045_contact_profile_fields.sql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046_contact_merge_history.sql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047_contact_tags.sql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048_knowledge_version_publish_history.sql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048_platform_agent_request_claim.sql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049_platform_agent_turn_fence.sql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050_platform_agent_pending_recovery.sql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051_quota_entitlement_upgrade.sql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052_ai_reply_dispatch_fence.sql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053_ai_reply_dispatch_scope.sql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054_web_source_schedule.sql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055_web_refresh_active_index.sql</w:t>
            </w:r>
          </w:p>
        </w:tc>
      </w:tr>
      <w:tr>
        <w:trPr>
          <w:cantSplit/>
        </w:trPr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056_model_grant_expiry.sql</w:t>
            </w:r>
          </w:p>
        </w:tc>
        <w:tc>
          <w:tcPr>
            <w:tcW w:type="dxa" w:w="518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10 Backup Restore And Recovery Drill</w:t>
      </w: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npm run db:restore-drill is an operator-driven local verification tool. It is not a production restore service or an approved RPO/RTO runbook.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What The Drill Verifies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Creates a disposable gotek_restore_&lt;random&gt; database and never accepts a caller-provided restore target.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Locks live tables in SHARE mode, counts rows and computes canonical SHA-256 content hashes.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Runs pg_dump and stores a private checksum sidecar under .local/backups.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Restores with pg_restore and compares counts, content hashes and policy metadata.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Clears sessions, challenges and local delivery; revokes invitations, providers, grants, support and visitor sessions.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Quarantines queued/running/retry/unknown jobs and pending agent work; no server or worker starts on the restored database.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Tests fail-closed RLS under the application role and drops the disposable database at the end.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Run The Drill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# Requires the dedicated local cluster and migration setup.</w:t>
      </w:r>
    </w:p>
    <w:p>
      <w:pPr>
        <w:spacing w:before="0" w:after="0" w:line="240" w:lineRule="auto"/>
        <w:ind w:left="259" w:right="259"/>
        <w:shd w:fill="F5F6F8" w:val="clear"/>
      </w:pPr>
      <w:r>
        <w:rPr>
          <w:rFonts w:ascii="Courier New" w:hAnsi="Courier New"/>
          <w:b w:val="0"/>
          <w:i w:val="0"/>
          <w:color w:val="1F2937"/>
          <w:sz w:val="17"/>
        </w:rPr>
        <w:t>npm run db:restore-drill</w:t>
      </w:r>
    </w:p>
    <w:p>
      <w:pPr>
        <w:spacing w:before="0" w:after="40" w:line="259" w:lineRule="auto"/>
      </w:pP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Current evidence records a PASS over 55 tables in a disposable local database. It does not prove production storage restore, external object restore, RPO/RTO, monitoring or rollback readiness. Keep backup files under .local and never commit them.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Recovery States A Developer Must Preserve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State</w:t>
            </w:r>
          </w:p>
        </w:tc>
        <w:tc>
          <w:tcPr>
            <w:tcW w:type="dxa" w:w="4680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Meaning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queued / running / retry</w:t>
            </w:r>
          </w:p>
        </w:tc>
        <w:tc>
          <w:tcPr>
            <w:tcW w:type="dxa" w:w="468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Work has not reached a confirmed terminal outcome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Use durable lease and tenant scope; recover stale work only through the existing job path</w:t>
            </w:r>
          </w:p>
        </w:tc>
      </w:tr>
      <w:tr>
        <w:trPr>
          <w:cantSplit/>
        </w:trP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unknown</w:t>
            </w:r>
          </w:p>
        </w:tc>
        <w:tc>
          <w:tcPr>
            <w:tcW w:type="dxa" w:w="468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External or dispatch outcome cannot be confirmed safely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 not blindly resend a provider or external effect</w:t>
            </w:r>
          </w:p>
        </w:tc>
      </w:tr>
      <w:tr>
        <w:trPr>
          <w:cantSplit/>
        </w:trP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confirmed / succeeded</w:t>
            </w:r>
          </w:p>
        </w:tc>
        <w:tc>
          <w:tcPr>
            <w:tcW w:type="dxa" w:w="468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Side effect or response has a durable receipt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Keep idempotency and ownership checks on subsequent reads</w:t>
            </w:r>
          </w:p>
        </w:tc>
      </w:tr>
      <w:tr>
        <w:trPr>
          <w:cantSplit/>
        </w:trP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quarantined</w:t>
            </w:r>
          </w:p>
        </w:tc>
        <w:tc>
          <w:tcPr>
            <w:tcW w:type="dxa" w:w="468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Restore or recovery intentionally disabled execution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Require an explicit operational decision before reactivation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11 Verification Troubleshooting And Handoff Checklist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Commands That Exist In package.json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Command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Purpose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Expected limitation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npm ci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Install locked dependencies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Native argon2 may require a compatible toolchain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npm run db:setup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Create local roles/database and apply migrations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Requires an existing local PostgreSQL cluster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npm run dev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Run Express with Vite middleware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Local/test only; fixed bind 127.0.0.1:4317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npm run build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TypeScript check and Vite build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Does not prove live browser or deployment acceptance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npx tsc --noEmit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TypeScript check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No separate lint script exists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npm test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Serial Node test runner with DB integration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Tests do not prove live provider or production behavior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npm run worker:ai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 worker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Needs trusted workspace or --all and provider configuration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npm run worker:embedding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Embedding batch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Needs workspace/version/model UUIDs and granted provider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npm run worker:web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Web refresh worker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Static fetch policy, not JS crawler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npm run db:restore-drill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Disposable backup/restore verification</w:t>
            </w:r>
          </w:p>
        </w:tc>
        <w:tc>
          <w:tcPr>
            <w:tcW w:type="dxa" w:w="3671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Not a production restore runbook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Common Errors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Symptom or code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Likely cause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0057E1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Safe next check</w:t>
            </w:r>
          </w:p>
        </w:tc>
      </w:tr>
      <w:tr>
        <w:trPr>
          <w:cantSplit/>
        </w:trPr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ENOENT .local/runtime.json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 DATABASE_URL and setup has not completed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Start the dedicated cluster, then run npm run db:setup</w:t>
            </w:r>
          </w:p>
        </w:tc>
      </w:tr>
      <w:tr>
        <w:trPr>
          <w:cantSplit/>
        </w:trPr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ECONNREFUSED on 55432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PostgreSQL cluster is stopped or wrong cluster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pg_ctl -D .local/postgres status; inspect the log</w:t>
            </w:r>
          </w:p>
        </w:tc>
      </w:tr>
      <w:tr>
        <w:trPr>
          <w:cantSplit/>
        </w:trPr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CSRF_REJECTED or connection error in UI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APP_ORIGIN mismatch, missing X-Gotek-Request, server or DB unavailable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Open /api/health and compare the browser origin</w:t>
            </w:r>
          </w:p>
        </w:tc>
      </w:tr>
      <w:tr>
        <w:trPr>
          <w:cantSplit/>
        </w:trPr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PROVIDER_SECRET_MISSING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secret_ref name does not match exported variable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Use printenv VAR &gt;/dev/null; never print the value</w:t>
            </w:r>
          </w:p>
        </w:tc>
      </w:tr>
      <w:tr>
        <w:trPr>
          <w:cantSplit/>
        </w:trPr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PROVIDER_NOT_CONFIGURED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Local adapter or disabled provider/model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Use a granted active provider with an authorized secret</w:t>
            </w:r>
          </w:p>
        </w:tc>
      </w:tr>
      <w:tr>
        <w:trPr>
          <w:cantSplit/>
        </w:trPr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INVALID_WORKER_CONFIGURATION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Missing UUID or invalid batch size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Check worker variables and tenant ownership</w:t>
            </w:r>
          </w:p>
        </w:tc>
      </w:tr>
      <w:tr>
        <w:trPr>
          <w:cantSplit/>
        </w:trPr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WORKSPACE_AND_ALL_ARE_MUTUALLY_EXCLUSIVE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AI worker received --all plus workspace variable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Choose one worker mode and restart</w:t>
            </w:r>
          </w:p>
        </w:tc>
      </w:tr>
      <w:tr>
        <w:trPr>
          <w:cantSplit/>
        </w:trPr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PRODUCTION_NOT_APPROVED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NODE_ENV=production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5"/>
              </w:rPr>
              <w:t>Return to local/test; production needs a separate release gate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Developer Handoff Checklist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Clone the repository and read the source handoff documents before editing.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Copy .env.example to .env locally; confirm .env and .local/runtime.json are ignored.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Use a dedicated PostgreSQL cluster or explicitly approved test DATABASE_URL.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Run npm run db:setup, npm run build and npm test; record exact outcomes.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Run workers only with UUIDs belonging to the intended local/test workspace.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Redact secrets from screenshots, terminal capture, issues, evidence and commits.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Update docs/PROJECT-STATUS.md, docs/HANDOFF.md and delivery/CHECKPOINT.md when configuration or evidence changes.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Do not mark a module accepted from a route, component or passing fixture alone.</w:t>
      </w:r>
    </w:p>
    <w:p>
      <w:r>
        <w:br w:type="page"/>
      </w:r>
    </w:p>
    <w:p>
      <w:pPr>
        <w:pStyle w:val="Heading1"/>
        <w:keepNext/>
        <w:spacing w:before="200" w:after="100" w:line="240" w:lineRule="auto"/>
      </w:pPr>
      <w:r>
        <w:rPr>
          <w:rFonts w:ascii="Arial" w:hAnsi="Arial"/>
          <w:b/>
          <w:i w:val="0"/>
          <w:color w:val="000000"/>
          <w:sz w:val="30"/>
        </w:rPr>
        <w:t>12 Open Decisions And Source References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UNKNOWN / NEEDS VERIFICATION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Staging and production hosting, TLS, domain, secret manager, DB topology, worker supervision and CI/CD.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Migration and rollback procedure for any database outside the local bootstrap cluster.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Live provider receipts, vendor token accounting, pricing and cost ownership for Platform Agent turns.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Whether claude_code must launch a separate Claude Code CLI or continue using the Anthropic-compatible transport.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Retention, deletion and workspace closure policy before destructive implementation.</w:t>
      </w:r>
    </w:p>
    <w:p>
      <w:pPr>
        <w:pStyle w:val="ListBullet"/>
        <w:spacing w:before="0" w:after="60" w:line="259" w:lineRule="auto"/>
        <w:ind w:left="331" w:hanging="187"/>
      </w:pPr>
      <w:r>
        <w:rPr>
          <w:rFonts w:ascii="Arial" w:hAnsi="Arial"/>
          <w:b w:val="0"/>
          <w:i w:val="0"/>
          <w:color w:val="000000"/>
          <w:sz w:val="20"/>
        </w:rPr>
        <w:t>Full browser parity and acceptance against the HiChat reference screens.</w:t>
      </w: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Repository Files To Read Next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0A1A4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Why it matters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README.md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Product overview, visual references, current status and end-to-end flow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docs/ENVIRONMENT.md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Shorter Markdown version of this configuration guide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docs/DATABASE.md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Database relationships, invariants and table index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docs/DEVELOPMENT.md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Local prerequisites and command-level setup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docs/ARCHITECTURE.md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Runtime boundaries, auth, tenant scope and AI flow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docs/PROJECT-STATUS.md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Evidence-based DONE, IN PROGRESS, TODO and unknown status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docs/HANDOFF.md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Exact next task and things not to break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delivery/CHECKPOINT.md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Chronological evidence and checkpoint log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.env.example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Tracked placeholder template; never fill with real secrets in Git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db/migrations/*.sql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Schema source of truth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scripts/setup-db.ts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FFFF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Local role/database/migration bootstrap</w:t>
            </w:r>
          </w:p>
        </w:tc>
      </w:tr>
      <w:tr>
        <w:trPr>
          <w:cantSplit/>
        </w:trPr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scripts/restore-drill.ts</w:t>
            </w:r>
          </w:p>
        </w:tc>
        <w:tc>
          <w:tcPr>
            <w:tcW w:type="dxa" w:w="7056"/>
            <w:tcMar>
              <w:top w:w="90" w:type="dxa"/>
              <w:start w:w="110" w:type="dxa"/>
              <w:bottom w:w="90" w:type="dxa"/>
              <w:end w:w="110" w:type="dxa"/>
            </w:tcMar>
            <w:shd w:fill="EAF3FF" w:val="clea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Disposable backup/restore and quarantine drill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100" w:line="240" w:lineRule="auto"/>
      </w:pPr>
      <w:r>
        <w:rPr>
          <w:rFonts w:ascii="Arial" w:hAnsi="Arial"/>
          <w:b/>
          <w:i w:val="0"/>
          <w:color w:val="000000"/>
          <w:sz w:val="23"/>
        </w:rPr>
        <w:t>Final Rule</w:t>
      </w:r>
    </w:p>
    <w:p>
      <w:pPr>
        <w:spacing w:before="0" w:after="12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Keep configuration, database changes, tests and evidence synchronized. If a detail is not proven by the current source, a test receipt or an approved decision, write UNKNOWN / NEEDS VERIFICATION and leave the unfinished work visible for the next developer.</w:t>
      </w:r>
    </w:p>
    <w:p>
      <w:pPr>
        <w:spacing w:before="160" w:after="0" w:line="259" w:lineRule="auto"/>
      </w:pPr>
      <w:r>
        <w:rPr>
          <w:rFonts w:ascii="Arial" w:hAnsi="Arial"/>
          <w:b/>
          <w:i w:val="0"/>
          <w:color w:val="000000"/>
          <w:sz w:val="20"/>
        </w:rPr>
        <w:t xml:space="preserve">Repository: </w:t>
      </w:r>
      <w:hyperlink r:id="rId11">
        <w:r>
          <w:rPr>
            <w:color w:val="0057E1"/>
            <w:u w:val="single"/>
          </w:rPr>
          <w:t>GoTekIT/GoTek-ChatBOT</w:t>
        </w:r>
      </w:hyperlink>
    </w:p>
    <w:sectPr w:rsidR="00FC693F" w:rsidRPr="0006063C" w:rsidSect="00034616">
      <w:footerReference w:type="default" r:id="rId9"/>
      <w:pgSz w:w="12240" w:h="15840"/>
      <w:pgMar w:top="1037" w:right="1123" w:bottom="936" w:left="1123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/>
        <w:b w:val="0"/>
        <w:i w:val="0"/>
        <w:color w:val="4A5568"/>
        <w:sz w:val="16"/>
      </w:rPr>
      <w:t>GoTek Chatbot | Environment and Database Handoff | 28 September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github.com/GoTekIT/GoTek-Chat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GoTek Chatbot Environment And Database Handoff</dc:title>
  <dc:subject>Local test environment, PostgreSQL and developer handoff</dc:subject>
  <dc:creator>GoTek Chatbot Delivery</dc:creator>
  <cp:keywords>GoTek, Chatbot, environment, PostgreSQL, database, handoff</cp:keywords>
  <dc:description>Source-grounded developer handoff. No secrets included.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