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0" w:line="259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148840" cy="722047"/>
            <wp:docPr id="1" name="Picture 1" title="GoTek logo" descr="GoTek brand logo used for the developer handoff documen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otek-log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48840" cy="7220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spacing w:before="80" w:after="140" w:line="240" w:lineRule="auto"/>
        <w:jc w:val="center"/>
      </w:pPr>
      <w:r>
        <w:rPr>
          <w:rFonts w:ascii="Arial" w:hAnsi="Arial"/>
          <w:b/>
          <w:i w:val="0"/>
          <w:color w:val="000000"/>
          <w:sz w:val="48"/>
        </w:rPr>
        <w:t>GoTek Chatbot Environment And Database Handoff</w:t>
      </w:r>
    </w:p>
    <w:p>
      <w:pPr>
        <w:pStyle w:val="Subtitle"/>
        <w:spacing w:before="0" w:after="360" w:line="259" w:lineRule="auto"/>
        <w:jc w:val="center"/>
      </w:pPr>
      <w:r>
        <w:rPr>
          <w:rFonts w:ascii="Arial" w:hAnsi="Arial"/>
          <w:b w:val="0"/>
          <w:i w:val="0"/>
          <w:color w:val="4A5568"/>
          <w:sz w:val="24"/>
        </w:rPr>
        <w:t>Local Test Configuration And Developer Runbook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shd w:fill="0057E1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Item</w:t>
            </w:r>
          </w:p>
        </w:tc>
        <w:tc>
          <w:tcPr>
            <w:tcW w:type="dxa" w:w="8496"/>
            <w:tcMar>
              <w:top w:w="90" w:type="dxa"/>
              <w:start w:w="110" w:type="dxa"/>
              <w:bottom w:w="90" w:type="dxa"/>
              <w:end w:w="110" w:type="dxa"/>
            </w:tcMar>
            <w:shd w:fill="0057E1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Current value</w:t>
            </w:r>
          </w:p>
        </w:tc>
      </w:tr>
      <w:tr>
        <w:trPr>
          <w:cantSplit/>
        </w:trP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Product</w:t>
            </w:r>
          </w:p>
        </w:tc>
        <w:tc>
          <w:tcPr>
            <w:tcW w:type="dxa" w:w="8496"/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GoTek Chatbot multi-business customer chat with tenant-scoped widget, knowledge, AI and staff handoff</w:t>
            </w:r>
          </w:p>
        </w:tc>
      </w:tr>
      <w:tr>
        <w:trPr>
          <w:cantSplit/>
        </w:trP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shd w:fill="EAF3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Document purpose</w:t>
            </w:r>
          </w:p>
        </w:tc>
        <w:tc>
          <w:tcPr>
            <w:tcW w:type="dxa" w:w="8496"/>
            <w:tcMar>
              <w:top w:w="90" w:type="dxa"/>
              <w:start w:w="110" w:type="dxa"/>
              <w:bottom w:w="90" w:type="dxa"/>
              <w:end w:w="110" w:type="dxa"/>
            </w:tcMar>
            <w:shd w:fill="EAF3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Give a new developer one practical reference for .env, PostgreSQL, migrations, workers and safe local verification</w:t>
            </w:r>
          </w:p>
        </w:tc>
      </w:tr>
      <w:tr>
        <w:trPr>
          <w:cantSplit/>
        </w:trP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Repository</w:t>
            </w:r>
          </w:p>
        </w:tc>
        <w:tc>
          <w:tcPr>
            <w:tcW w:type="dxa" w:w="8496"/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https://github.com/GoTekIT/GoTek-ChatBOT.git</w:t>
            </w:r>
          </w:p>
        </w:tc>
      </w:tr>
      <w:tr>
        <w:trPr>
          <w:cantSplit/>
        </w:trP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shd w:fill="EAF3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Branch</w:t>
            </w:r>
          </w:p>
        </w:tc>
        <w:tc>
          <w:tcPr>
            <w:tcW w:type="dxa" w:w="8496"/>
            <w:tcMar>
              <w:top w:w="90" w:type="dxa"/>
              <w:start w:w="110" w:type="dxa"/>
              <w:bottom w:w="90" w:type="dxa"/>
              <w:end w:w="110" w:type="dxa"/>
            </w:tcMar>
            <w:shd w:fill="EAF3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codex/chatbot-delivery</w:t>
            </w:r>
          </w:p>
        </w:tc>
      </w:tr>
      <w:tr>
        <w:trPr>
          <w:cantSplit/>
        </w:trP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Status</w:t>
            </w:r>
          </w:p>
        </w:tc>
        <w:tc>
          <w:tcPr>
            <w:tcW w:type="dxa" w:w="8496"/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MVP in progress; documentation handoff; no production deployment</w:t>
            </w:r>
          </w:p>
        </w:tc>
      </w:tr>
      <w:tr>
        <w:trPr>
          <w:cantSplit/>
        </w:trP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shd w:fill="EAF3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Source snapshot</w:t>
            </w:r>
          </w:p>
        </w:tc>
        <w:tc>
          <w:tcPr>
            <w:tcW w:type="dxa" w:w="8496"/>
            <w:tcMar>
              <w:top w:w="90" w:type="dxa"/>
              <w:start w:w="110" w:type="dxa"/>
              <w:bottom w:w="90" w:type="dxa"/>
              <w:end w:w="110" w:type="dxa"/>
            </w:tcMar>
            <w:shd w:fill="EAF3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Verify current commit with git log -1 before changing configuration</w:t>
            </w:r>
          </w:p>
        </w:tc>
      </w:tr>
      <w:tr>
        <w:trPr>
          <w:cantSplit/>
        </w:trP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Prepared</w:t>
            </w:r>
          </w:p>
        </w:tc>
        <w:tc>
          <w:tcPr>
            <w:tcW w:type="dxa" w:w="8496"/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28 September 2026</w:t>
            </w:r>
          </w:p>
        </w:tc>
      </w:tr>
    </w:tbl>
    <w:p>
      <w:pPr>
        <w:spacing w:after="20"/>
      </w:pPr>
    </w:p>
    <w:p>
      <w:pPr>
        <w:spacing w:before="0" w:after="80" w:line="259" w:lineRule="auto"/>
      </w:pPr>
      <w:r>
        <w:rPr>
          <w:rFonts w:ascii="Arial" w:hAnsi="Arial"/>
          <w:b/>
          <w:i w:val="0"/>
          <w:color w:val="000000"/>
          <w:sz w:val="20"/>
        </w:rPr>
        <w:t>Read this document before creating a local .env, changing database access, adding a provider secret or starting a worker. The source currently uses explicit process environment variables and a local runtime file; it does not automatically load .env.</w:t>
      </w:r>
    </w:p>
    <w:p>
      <w:pPr>
        <w:spacing w:before="0" w:after="0" w:line="259" w:lineRule="auto"/>
      </w:pPr>
      <w:r>
        <w:rPr>
          <w:rFonts w:ascii="Arial" w:hAnsi="Arial"/>
          <w:b w:val="0"/>
          <w:i w:val="0"/>
          <w:color w:val="000000"/>
          <w:sz w:val="20"/>
        </w:rPr>
        <w:t>All provider values in this document are placeholders. Never copy a real API key, password, cookie, JWT or private key into the repository, the document, a screenshot or an evidence file.</w:t>
      </w:r>
    </w:p>
    <w:p>
      <w:r>
        <w:br w:type="page"/>
      </w:r>
    </w:p>
    <w:p>
      <w:pPr>
        <w:pStyle w:val="Heading1"/>
        <w:keepNext/>
        <w:spacing w:before="200" w:after="100" w:line="240" w:lineRule="auto"/>
      </w:pPr>
      <w:r>
        <w:rPr>
          <w:rFonts w:ascii="Arial" w:hAnsi="Arial"/>
          <w:b/>
          <w:i w:val="0"/>
          <w:color w:val="000000"/>
          <w:sz w:val="30"/>
        </w:rPr>
        <w:t>How To Use This Handoff</w:t>
      </w:r>
    </w:p>
    <w:p>
      <w:pPr>
        <w:spacing w:before="0" w:after="120" w:line="259" w:lineRule="auto"/>
      </w:pPr>
      <w:r>
        <w:rPr>
          <w:rFonts w:ascii="Arial" w:hAnsi="Arial"/>
          <w:b w:val="0"/>
          <w:i w:val="0"/>
          <w:color w:val="000000"/>
          <w:sz w:val="20"/>
        </w:rPr>
        <w:t>This is an operational handoff, not a production deployment runbook. It explains what the repository does today, how to reproduce the local database, where configuration comes from, and which claims still require a staging or provider decision.</w:t>
      </w:r>
    </w:p>
    <w:p>
      <w:pPr>
        <w:spacing w:before="0" w:after="100" w:line="259" w:lineRule="auto"/>
      </w:pPr>
      <w:r>
        <w:rPr>
          <w:rFonts w:ascii="Arial" w:hAnsi="Arial"/>
          <w:b/>
          <w:i w:val="0"/>
          <w:color w:val="000000"/>
          <w:sz w:val="20"/>
        </w:rPr>
        <w:t xml:space="preserve">Source of truth. </w:t>
      </w:r>
      <w:r>
        <w:rPr>
          <w:rFonts w:ascii="Arial" w:hAnsi="Arial"/>
          <w:b w:val="0"/>
          <w:i w:val="0"/>
          <w:color w:val="000000"/>
          <w:sz w:val="20"/>
        </w:rPr>
        <w:t>Use the current source code, migrations and linked evidence in the repository as the authority. HiChat remains a product reference; its private backend is not inferred.</w:t>
      </w:r>
    </w:p>
    <w:p>
      <w:pPr>
        <w:spacing w:before="0" w:after="100" w:line="259" w:lineRule="auto"/>
      </w:pPr>
      <w:r>
        <w:rPr>
          <w:rFonts w:ascii="Arial" w:hAnsi="Arial"/>
          <w:b/>
          <w:i w:val="0"/>
          <w:color w:val="000000"/>
          <w:sz w:val="20"/>
        </w:rPr>
        <w:t xml:space="preserve">Status language. </w:t>
      </w:r>
      <w:r>
        <w:rPr>
          <w:rFonts w:ascii="Arial" w:hAnsi="Arial"/>
          <w:b w:val="0"/>
          <w:i w:val="0"/>
          <w:color w:val="000000"/>
          <w:sz w:val="20"/>
        </w:rPr>
        <w:t>Implemented means code exists. Verified means a local check or evidence file passed. Accepted requires the appropriate browser, provider, owner or staging gate. Unknown facts are marked UNKNOWN / NEEDS VERIFICATION.</w:t>
      </w:r>
    </w:p>
    <w:p>
      <w:pPr>
        <w:pStyle w:val="Heading2"/>
        <w:keepNext/>
        <w:spacing w:before="120" w:after="100" w:line="240" w:lineRule="auto"/>
      </w:pPr>
      <w:r>
        <w:rPr>
          <w:rFonts w:ascii="Arial" w:hAnsi="Arial"/>
          <w:b/>
          <w:i w:val="0"/>
          <w:color w:val="000000"/>
          <w:sz w:val="23"/>
        </w:rPr>
        <w:t>Contents</w:t>
      </w:r>
    </w:p>
    <w:p>
      <w:pPr>
        <w:pStyle w:val="ListBullet"/>
        <w:spacing w:before="0" w:after="60" w:line="259" w:lineRule="auto"/>
        <w:ind w:left="331" w:hanging="187"/>
      </w:pPr>
      <w:r>
        <w:rPr>
          <w:rFonts w:ascii="Arial" w:hAnsi="Arial"/>
          <w:b w:val="0"/>
          <w:i w:val="0"/>
          <w:color w:val="000000"/>
          <w:sz w:val="20"/>
        </w:rPr>
        <w:t>1. Current configuration at a glance</w:t>
      </w:r>
    </w:p>
    <w:p>
      <w:pPr>
        <w:pStyle w:val="ListBullet"/>
        <w:spacing w:before="0" w:after="60" w:line="259" w:lineRule="auto"/>
        <w:ind w:left="331" w:hanging="187"/>
      </w:pPr>
      <w:r>
        <w:rPr>
          <w:rFonts w:ascii="Arial" w:hAnsi="Arial"/>
          <w:b w:val="0"/>
          <w:i w:val="0"/>
          <w:color w:val="000000"/>
          <w:sz w:val="20"/>
        </w:rPr>
        <w:t>2. Environment loading and .env workflow</w:t>
      </w:r>
    </w:p>
    <w:p>
      <w:pPr>
        <w:pStyle w:val="ListBullet"/>
        <w:spacing w:before="0" w:after="60" w:line="259" w:lineRule="auto"/>
        <w:ind w:left="331" w:hanging="187"/>
      </w:pPr>
      <w:r>
        <w:rPr>
          <w:rFonts w:ascii="Arial" w:hAnsi="Arial"/>
          <w:b w:val="0"/>
          <w:i w:val="0"/>
          <w:color w:val="000000"/>
          <w:sz w:val="20"/>
        </w:rPr>
        <w:t>3. Complete environment variable reference</w:t>
      </w:r>
    </w:p>
    <w:p>
      <w:pPr>
        <w:pStyle w:val="ListBullet"/>
        <w:spacing w:before="0" w:after="60" w:line="259" w:lineRule="auto"/>
        <w:ind w:left="331" w:hanging="187"/>
      </w:pPr>
      <w:r>
        <w:rPr>
          <w:rFonts w:ascii="Arial" w:hAnsi="Arial"/>
          <w:b w:val="0"/>
          <w:i w:val="0"/>
          <w:color w:val="000000"/>
          <w:sz w:val="20"/>
        </w:rPr>
        <w:t>4. Provider secrets and AI adapters</w:t>
      </w:r>
    </w:p>
    <w:p>
      <w:pPr>
        <w:pStyle w:val="ListBullet"/>
        <w:spacing w:before="0" w:after="60" w:line="259" w:lineRule="auto"/>
        <w:ind w:left="331" w:hanging="187"/>
      </w:pPr>
      <w:r>
        <w:rPr>
          <w:rFonts w:ascii="Arial" w:hAnsi="Arial"/>
          <w:b w:val="0"/>
          <w:i w:val="0"/>
          <w:color w:val="000000"/>
          <w:sz w:val="20"/>
        </w:rPr>
        <w:t>5. Worker profiles and commands</w:t>
      </w:r>
    </w:p>
    <w:p>
      <w:pPr>
        <w:pStyle w:val="ListBullet"/>
        <w:spacing w:before="0" w:after="60" w:line="259" w:lineRule="auto"/>
        <w:ind w:left="331" w:hanging="187"/>
      </w:pPr>
      <w:r>
        <w:rPr>
          <w:rFonts w:ascii="Arial" w:hAnsi="Arial"/>
          <w:b w:val="0"/>
          <w:i w:val="0"/>
          <w:color w:val="000000"/>
          <w:sz w:val="20"/>
        </w:rPr>
        <w:t>6. PostgreSQL architecture and connection roles</w:t>
      </w:r>
    </w:p>
    <w:p>
      <w:pPr>
        <w:pStyle w:val="ListBullet"/>
        <w:spacing w:before="0" w:after="60" w:line="259" w:lineRule="auto"/>
        <w:ind w:left="331" w:hanging="187"/>
      </w:pPr>
      <w:r>
        <w:rPr>
          <w:rFonts w:ascii="Arial" w:hAnsi="Arial"/>
          <w:b w:val="0"/>
          <w:i w:val="0"/>
          <w:color w:val="000000"/>
          <w:sz w:val="20"/>
        </w:rPr>
        <w:t>7. Database bootstrap and migration workflow</w:t>
      </w:r>
    </w:p>
    <w:p>
      <w:pPr>
        <w:pStyle w:val="ListBullet"/>
        <w:spacing w:before="0" w:after="60" w:line="259" w:lineRule="auto"/>
        <w:ind w:left="331" w:hanging="187"/>
      </w:pPr>
      <w:r>
        <w:rPr>
          <w:rFonts w:ascii="Arial" w:hAnsi="Arial"/>
          <w:b w:val="0"/>
          <w:i w:val="0"/>
          <w:color w:val="000000"/>
          <w:sz w:val="20"/>
        </w:rPr>
        <w:t>8. Tenant scope RLS and data invariants</w:t>
      </w:r>
    </w:p>
    <w:p>
      <w:pPr>
        <w:pStyle w:val="ListBullet"/>
        <w:spacing w:before="0" w:after="60" w:line="259" w:lineRule="auto"/>
        <w:ind w:left="331" w:hanging="187"/>
      </w:pPr>
      <w:r>
        <w:rPr>
          <w:rFonts w:ascii="Arial" w:hAnsi="Arial"/>
          <w:b w:val="0"/>
          <w:i w:val="0"/>
          <w:color w:val="000000"/>
          <w:sz w:val="20"/>
        </w:rPr>
        <w:t>9. Schema map and migration index</w:t>
      </w:r>
    </w:p>
    <w:p>
      <w:pPr>
        <w:pStyle w:val="ListBullet"/>
        <w:spacing w:before="0" w:after="60" w:line="259" w:lineRule="auto"/>
        <w:ind w:left="331" w:hanging="187"/>
      </w:pPr>
      <w:r>
        <w:rPr>
          <w:rFonts w:ascii="Arial" w:hAnsi="Arial"/>
          <w:b w:val="0"/>
          <w:i w:val="0"/>
          <w:color w:val="000000"/>
          <w:sz w:val="20"/>
        </w:rPr>
        <w:t>10. Backup restore and recovery drill</w:t>
      </w:r>
    </w:p>
    <w:p>
      <w:pPr>
        <w:pStyle w:val="ListBullet"/>
        <w:spacing w:before="0" w:after="60" w:line="259" w:lineRule="auto"/>
        <w:ind w:left="331" w:hanging="187"/>
      </w:pPr>
      <w:r>
        <w:rPr>
          <w:rFonts w:ascii="Arial" w:hAnsi="Arial"/>
          <w:b w:val="0"/>
          <w:i w:val="0"/>
          <w:color w:val="000000"/>
          <w:sz w:val="20"/>
        </w:rPr>
        <w:t>11. Verification troubleshooting and handoff checklist</w:t>
      </w:r>
    </w:p>
    <w:p>
      <w:pPr>
        <w:pStyle w:val="ListBullet"/>
        <w:spacing w:before="0" w:after="60" w:line="259" w:lineRule="auto"/>
        <w:ind w:left="331" w:hanging="187"/>
      </w:pPr>
      <w:r>
        <w:rPr>
          <w:rFonts w:ascii="Arial" w:hAnsi="Arial"/>
          <w:b w:val="0"/>
          <w:i w:val="0"/>
          <w:color w:val="000000"/>
          <w:sz w:val="20"/>
        </w:rPr>
        <w:t>12. Open decisions and source references</w:t>
      </w:r>
    </w:p>
    <w:p>
      <w:pPr>
        <w:pStyle w:val="Heading2"/>
        <w:keepNext/>
        <w:spacing w:before="120" w:after="100" w:line="240" w:lineRule="auto"/>
      </w:pPr>
      <w:r>
        <w:rPr>
          <w:rFonts w:ascii="Arial" w:hAnsi="Arial"/>
          <w:b/>
          <w:i w:val="0"/>
          <w:color w:val="000000"/>
          <w:sz w:val="23"/>
        </w:rPr>
        <w:t>First 15 Minutes For A New Developer</w:t>
      </w:r>
    </w:p>
    <w:p>
      <w:pPr>
        <w:pStyle w:val="ListNumber"/>
        <w:spacing w:before="0" w:after="60" w:line="259" w:lineRule="auto"/>
        <w:ind w:left="403" w:hanging="259"/>
      </w:pPr>
      <w:r>
        <w:rPr>
          <w:rFonts w:ascii="Arial" w:hAnsi="Arial"/>
          <w:b w:val="0"/>
          <w:i w:val="0"/>
          <w:color w:val="000000"/>
          <w:sz w:val="20"/>
        </w:rPr>
        <w:t>Read README.md, docs/00-START-HERE.md, docs/PROJECT-STATUS.md and docs/HANDOFF.md.</w:t>
      </w:r>
    </w:p>
    <w:p>
      <w:pPr>
        <w:pStyle w:val="ListNumber"/>
        <w:spacing w:before="0" w:after="60" w:line="259" w:lineRule="auto"/>
        <w:ind w:left="403" w:hanging="259"/>
      </w:pPr>
      <w:r>
        <w:rPr>
          <w:rFonts w:ascii="Arial" w:hAnsi="Arial"/>
          <w:b w:val="0"/>
          <w:i w:val="0"/>
          <w:color w:val="000000"/>
          <w:sz w:val="20"/>
        </w:rPr>
        <w:t>Read docs/ENVIRONMENT.md and compare it with this Word guide before adding a variable.</w:t>
      </w:r>
    </w:p>
    <w:p>
      <w:pPr>
        <w:pStyle w:val="ListNumber"/>
        <w:spacing w:before="0" w:after="60" w:line="259" w:lineRule="auto"/>
        <w:ind w:left="403" w:hanging="259"/>
      </w:pPr>
      <w:r>
        <w:rPr>
          <w:rFonts w:ascii="Arial" w:hAnsi="Arial"/>
          <w:b w:val="0"/>
          <w:i w:val="0"/>
          <w:color w:val="000000"/>
          <w:sz w:val="20"/>
        </w:rPr>
        <w:t>Check git status and confirm .env and .local/runtime.json are ignored.</w:t>
      </w:r>
    </w:p>
    <w:p>
      <w:pPr>
        <w:pStyle w:val="ListNumber"/>
        <w:spacing w:before="0" w:after="60" w:line="259" w:lineRule="auto"/>
        <w:ind w:left="403" w:hanging="259"/>
      </w:pPr>
      <w:r>
        <w:rPr>
          <w:rFonts w:ascii="Arial" w:hAnsi="Arial"/>
          <w:b w:val="0"/>
          <w:i w:val="0"/>
          <w:color w:val="000000"/>
          <w:sz w:val="20"/>
        </w:rPr>
        <w:t>Prepare a private PostgreSQL cluster on port 55432; do not reuse a shared or production database.</w:t>
      </w:r>
    </w:p>
    <w:p>
      <w:pPr>
        <w:pStyle w:val="ListNumber"/>
        <w:spacing w:before="0" w:after="60" w:line="259" w:lineRule="auto"/>
        <w:ind w:left="403" w:hanging="259"/>
      </w:pPr>
      <w:r>
        <w:rPr>
          <w:rFonts w:ascii="Arial" w:hAnsi="Arial"/>
          <w:b w:val="0"/>
          <w:i w:val="0"/>
          <w:color w:val="000000"/>
          <w:sz w:val="20"/>
        </w:rPr>
        <w:t>Run npm ci, npm run db:setup, npm run build and npm test according to the evidence gates.</w:t>
      </w:r>
    </w:p>
    <w:p>
      <w:pPr>
        <w:pStyle w:val="ListNumber"/>
        <w:spacing w:before="0" w:after="60" w:line="259" w:lineRule="auto"/>
        <w:ind w:left="403" w:hanging="259"/>
      </w:pPr>
      <w:r>
        <w:rPr>
          <w:rFonts w:ascii="Arial" w:hAnsi="Arial"/>
          <w:b w:val="0"/>
          <w:i w:val="0"/>
          <w:color w:val="000000"/>
          <w:sz w:val="20"/>
        </w:rPr>
        <w:t>Only after local checks pass, configure a provider secret on the server side and run an authorized test receipt.</w:t>
      </w:r>
    </w:p>
    <w:p>
      <w:r>
        <w:br w:type="page"/>
      </w:r>
    </w:p>
    <w:p>
      <w:pPr>
        <w:pStyle w:val="Heading1"/>
        <w:keepNext/>
        <w:spacing w:before="200" w:after="100" w:line="240" w:lineRule="auto"/>
      </w:pPr>
      <w:r>
        <w:rPr>
          <w:rFonts w:ascii="Arial" w:hAnsi="Arial"/>
          <w:b/>
          <w:i w:val="0"/>
          <w:color w:val="000000"/>
          <w:sz w:val="30"/>
        </w:rPr>
        <w:t>1 Current Configuration At A Glance</w:t>
      </w:r>
    </w:p>
    <w:p>
      <w:pPr>
        <w:spacing w:before="0" w:after="120" w:line="259" w:lineRule="auto"/>
      </w:pPr>
      <w:r>
        <w:rPr>
          <w:rFonts w:ascii="Arial" w:hAnsi="Arial"/>
          <w:b w:val="0"/>
          <w:i w:val="0"/>
          <w:color w:val="000000"/>
          <w:sz w:val="20"/>
        </w:rPr>
        <w:t>The local runtime is one Express process with Vite middleware plus independent PostgreSQL-backed workers. The frontend and API are served through the same local entrypoint at 127.0.0.1:4317. Workers must be started separately and each reads its own process environment.</w:t>
      </w:r>
    </w:p>
    <w:p>
      <w:pPr>
        <w:spacing w:before="0" w:after="120" w:line="259" w:lineRule="auto"/>
      </w:pPr>
      <w:r>
        <w:rPr>
          <w:rFonts w:ascii="Arial" w:hAnsi="Arial"/>
          <w:b/>
          <w:i w:val="0"/>
          <w:color w:val="000000"/>
          <w:sz w:val="20"/>
        </w:rPr>
        <w:t>Checkout evidence at this snapshot: a private .env now exists at the repository root and is ignored by Git. It was generated from .local/runtime.json with DATABASE_URL targeting 127.0.0.1:55432/gotek_chatbot as gotek_app; the password is intentionally omitted from this document. .env.example remains the tracked placeholder and .local/runtime.json remains local/ignored. PostgreSQL 16.15 accepted a connection as gotek_app, reported 57 applied migrations and 55 public tables, and the app role reported rolbypassrls=false during the current check. With the same exported environment, npm run dev started on 127.0.0.1:4317 and GET /api/health returned HTTP 200 with local-test status. This proves the local/test profile only; it does not prove staging or production connectivity. Never copy real values into the tracked template or this Word handoff.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shd w:fill="0A1A4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Area</w:t>
            </w:r>
          </w:p>
        </w:tc>
        <w:tc>
          <w:tcPr>
            <w:tcW w:type="dxa" w:w="5112"/>
            <w:tcMar>
              <w:top w:w="90" w:type="dxa"/>
              <w:start w:w="110" w:type="dxa"/>
              <w:bottom w:w="90" w:type="dxa"/>
              <w:end w:w="110" w:type="dxa"/>
            </w:tcMar>
            <w:shd w:fill="0A1A4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Current implementation</w:t>
            </w:r>
          </w:p>
        </w:tc>
        <w:tc>
          <w:tcPr>
            <w:tcW w:type="dxa" w:w="3816"/>
            <w:tcMar>
              <w:top w:w="90" w:type="dxa"/>
              <w:start w:w="110" w:type="dxa"/>
              <w:bottom w:w="90" w:type="dxa"/>
              <w:end w:w="110" w:type="dxa"/>
            </w:tcMar>
            <w:shd w:fill="0A1A4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Evidence boundary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Web server</w:t>
            </w:r>
          </w:p>
        </w:tc>
        <w:tc>
          <w:tcPr>
            <w:tcW w:type="dxa" w:w="5112"/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src/server/index.ts; Express 5; Vite middleware unless SERVE_BUILD=true</w:t>
            </w:r>
          </w:p>
        </w:tc>
        <w:tc>
          <w:tcPr>
            <w:tcW w:type="dxa" w:w="3816"/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Local/test only; NODE_ENV=production is rejected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shd w:fill="EAF3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Database</w:t>
            </w:r>
          </w:p>
        </w:tc>
        <w:tc>
          <w:tcPr>
            <w:tcW w:type="dxa" w:w="5112"/>
            <w:tcMar>
              <w:top w:w="90" w:type="dxa"/>
              <w:start w:w="110" w:type="dxa"/>
              <w:bottom w:w="90" w:type="dxa"/>
              <w:end w:w="110" w:type="dxa"/>
            </w:tcMar>
            <w:shd w:fill="EAF3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PostgreSQL via pg and parameterized SQL; no ORM</w:t>
            </w:r>
          </w:p>
        </w:tc>
        <w:tc>
          <w:tcPr>
            <w:tcW w:type="dxa" w:w="3816"/>
            <w:tcMar>
              <w:top w:w="90" w:type="dxa"/>
              <w:start w:w="110" w:type="dxa"/>
              <w:bottom w:w="90" w:type="dxa"/>
              <w:end w:w="110" w:type="dxa"/>
            </w:tcMar>
            <w:shd w:fill="EAF3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Local bootstrap is established; non-local deployment topology is UNKNOWN / NEEDS VERIFICATION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App role</w:t>
            </w:r>
          </w:p>
        </w:tc>
        <w:tc>
          <w:tcPr>
            <w:tcW w:type="dxa" w:w="5112"/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gotek_app generated by setup; NOSUPERUSER and NOBYPASSRLS</w:t>
            </w:r>
          </w:p>
        </w:tc>
        <w:tc>
          <w:tcPr>
            <w:tcW w:type="dxa" w:w="3816"/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Do not run the web app with gotek_migrator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shd w:fill="EAF3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Migrations</w:t>
            </w:r>
          </w:p>
        </w:tc>
        <w:tc>
          <w:tcPr>
            <w:tcW w:type="dxa" w:w="5112"/>
            <w:tcMar>
              <w:top w:w="90" w:type="dxa"/>
              <w:start w:w="110" w:type="dxa"/>
              <w:bottom w:w="90" w:type="dxa"/>
              <w:end w:w="110" w:type="dxa"/>
            </w:tcMar>
            <w:shd w:fill="EAF3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db/migrations/*.sql applied lexicographically through schema_migrations</w:t>
            </w:r>
          </w:p>
        </w:tc>
        <w:tc>
          <w:tcPr>
            <w:tcW w:type="dxa" w:w="3816"/>
            <w:tcMar>
              <w:top w:w="90" w:type="dxa"/>
              <w:start w:w="110" w:type="dxa"/>
              <w:bottom w:w="90" w:type="dxa"/>
              <w:end w:w="110" w:type="dxa"/>
            </w:tcMar>
            <w:shd w:fill="EAF3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Latest inspected filename: 056_model_grant_expiry.sql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Secrets</w:t>
            </w:r>
          </w:p>
        </w:tc>
        <w:tc>
          <w:tcPr>
            <w:tcW w:type="dxa" w:w="5112"/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Provider rows store secret_ref names; values stay in server environment</w:t>
            </w:r>
          </w:p>
        </w:tc>
        <w:tc>
          <w:tcPr>
            <w:tcW w:type="dxa" w:w="3816"/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No secret is shipped to browser, widget or job payload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shd w:fill="EAF3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Workers</w:t>
            </w:r>
          </w:p>
        </w:tc>
        <w:tc>
          <w:tcPr>
            <w:tcW w:type="dxa" w:w="5112"/>
            <w:tcMar>
              <w:top w:w="90" w:type="dxa"/>
              <w:start w:w="110" w:type="dxa"/>
              <w:bottom w:w="90" w:type="dxa"/>
              <w:end w:w="110" w:type="dxa"/>
            </w:tcMar>
            <w:shd w:fill="EAF3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AI reply, embedding and web refresh workers use durable PostgreSQL jobs or explicit batch input</w:t>
            </w:r>
          </w:p>
        </w:tc>
        <w:tc>
          <w:tcPr>
            <w:tcW w:type="dxa" w:w="3816"/>
            <w:tcMar>
              <w:top w:w="90" w:type="dxa"/>
              <w:start w:w="110" w:type="dxa"/>
              <w:bottom w:w="90" w:type="dxa"/>
              <w:end w:w="110" w:type="dxa"/>
            </w:tcMar>
            <w:shd w:fill="EAF3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External receipt, cost and production supervision remain open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Deployment</w:t>
            </w:r>
          </w:p>
        </w:tc>
        <w:tc>
          <w:tcPr>
            <w:tcW w:type="dxa" w:w="5112"/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No approved production hosting, Docker or CI/CD was established</w:t>
            </w:r>
          </w:p>
        </w:tc>
        <w:tc>
          <w:tcPr>
            <w:tcW w:type="dxa" w:w="3816"/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Staging and production are not complete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20" w:after="100" w:line="240" w:lineRule="auto"/>
      </w:pPr>
      <w:r>
        <w:rPr>
          <w:rFonts w:ascii="Arial" w:hAnsi="Arial"/>
          <w:b/>
          <w:i w:val="0"/>
          <w:color w:val="000000"/>
          <w:sz w:val="23"/>
        </w:rPr>
        <w:t>Runtime Configuration Flow</w:t>
      </w:r>
    </w:p>
    <w:p>
      <w:pPr>
        <w:pStyle w:val="ListNumber"/>
        <w:spacing w:before="0" w:after="60" w:line="259" w:lineRule="auto"/>
        <w:ind w:left="403" w:hanging="259"/>
      </w:pPr>
      <w:r>
        <w:rPr>
          <w:rFonts w:ascii="Arial" w:hAnsi="Arial"/>
          <w:b w:val="0"/>
          <w:i w:val="0"/>
          <w:color w:val="000000"/>
          <w:sz w:val="20"/>
        </w:rPr>
        <w:t>Copy the tracked .env.example to a private local .env file.</w:t>
      </w:r>
    </w:p>
    <w:p>
      <w:pPr>
        <w:pStyle w:val="ListNumber"/>
        <w:spacing w:before="0" w:after="60" w:line="259" w:lineRule="auto"/>
        <w:ind w:left="403" w:hanging="259"/>
      </w:pPr>
      <w:r>
        <w:rPr>
          <w:rFonts w:ascii="Arial" w:hAnsi="Arial"/>
          <w:b w:val="0"/>
          <w:i w:val="0"/>
          <w:color w:val="000000"/>
          <w:sz w:val="20"/>
        </w:rPr>
        <w:t>Export the variables in the shell. The backend does not load dotenv automatically.</w:t>
      </w:r>
    </w:p>
    <w:p>
      <w:pPr>
        <w:pStyle w:val="ListNumber"/>
        <w:spacing w:before="0" w:after="60" w:line="259" w:lineRule="auto"/>
        <w:ind w:left="403" w:hanging="259"/>
      </w:pPr>
      <w:r>
        <w:rPr>
          <w:rFonts w:ascii="Arial" w:hAnsi="Arial"/>
          <w:b w:val="0"/>
          <w:i w:val="0"/>
          <w:color w:val="000000"/>
          <w:sz w:val="20"/>
        </w:rPr>
        <w:t>The app uses DATABASE_URL when non-empty; otherwise it reads .local/runtime.json.</w:t>
      </w:r>
    </w:p>
    <w:p>
      <w:pPr>
        <w:pStyle w:val="ListNumber"/>
        <w:spacing w:before="0" w:after="60" w:line="259" w:lineRule="auto"/>
        <w:ind w:left="403" w:hanging="259"/>
      </w:pPr>
      <w:r>
        <w:rPr>
          <w:rFonts w:ascii="Arial" w:hAnsi="Arial"/>
          <w:b w:val="0"/>
          <w:i w:val="0"/>
          <w:color w:val="000000"/>
          <w:sz w:val="20"/>
        </w:rPr>
        <w:t>The provider registry supplies only a secret_ref name; the server resolves process.env[secret_ref] immediately before provider I/O.</w:t>
      </w:r>
    </w:p>
    <w:p>
      <w:pPr>
        <w:pStyle w:val="ListNumber"/>
        <w:spacing w:before="0" w:after="60" w:line="259" w:lineRule="auto"/>
        <w:ind w:left="403" w:hanging="259"/>
      </w:pPr>
      <w:r>
        <w:rPr>
          <w:rFonts w:ascii="Arial" w:hAnsi="Arial"/>
          <w:b w:val="0"/>
          <w:i w:val="0"/>
          <w:color w:val="000000"/>
          <w:sz w:val="20"/>
        </w:rPr>
        <w:t>The app and every worker must be restarted after an environment change.</w:t>
      </w:r>
    </w:p>
    <w:p>
      <w:r>
        <w:br w:type="page"/>
      </w:r>
    </w:p>
    <w:p>
      <w:pPr>
        <w:pStyle w:val="Heading1"/>
        <w:keepNext/>
        <w:spacing w:before="200" w:after="100" w:line="240" w:lineRule="auto"/>
      </w:pPr>
      <w:r>
        <w:rPr>
          <w:rFonts w:ascii="Arial" w:hAnsi="Arial"/>
          <w:b/>
          <w:i w:val="0"/>
          <w:color w:val="000000"/>
          <w:sz w:val="30"/>
        </w:rPr>
        <w:t>2 Environment Loading And Env Workflow</w:t>
      </w:r>
    </w:p>
    <w:p>
      <w:pPr>
        <w:pStyle w:val="Heading2"/>
        <w:keepNext/>
        <w:spacing w:before="120" w:after="100" w:line="240" w:lineRule="auto"/>
      </w:pPr>
      <w:r>
        <w:rPr>
          <w:rFonts w:ascii="Arial" w:hAnsi="Arial"/>
          <w:b/>
          <w:i w:val="0"/>
          <w:color w:val="000000"/>
          <w:sz w:val="23"/>
        </w:rPr>
        <w:t>What The Repository Does Not Do</w:t>
      </w:r>
    </w:p>
    <w:p>
      <w:pPr>
        <w:pStyle w:val="ListBullet"/>
        <w:spacing w:before="0" w:after="60" w:line="259" w:lineRule="auto"/>
        <w:ind w:left="331" w:hanging="187"/>
      </w:pPr>
      <w:r>
        <w:rPr>
          <w:rFonts w:ascii="Arial" w:hAnsi="Arial"/>
          <w:b w:val="0"/>
          <w:i w:val="0"/>
          <w:color w:val="000000"/>
          <w:sz w:val="20"/>
        </w:rPr>
        <w:t>There is no dotenv dependency or automatic .env loader.</w:t>
      </w:r>
    </w:p>
    <w:p>
      <w:pPr>
        <w:pStyle w:val="ListBullet"/>
        <w:spacing w:before="0" w:after="60" w:line="259" w:lineRule="auto"/>
        <w:ind w:left="331" w:hanging="187"/>
      </w:pPr>
      <w:r>
        <w:rPr>
          <w:rFonts w:ascii="Arial" w:hAnsi="Arial"/>
          <w:b w:val="0"/>
          <w:i w:val="0"/>
          <w:color w:val="000000"/>
          <w:sz w:val="20"/>
        </w:rPr>
        <w:t>PORT, HOST, CORS_ORIGIN and generic PostgreSQL pool variables are not read by the current source.</w:t>
      </w:r>
    </w:p>
    <w:p>
      <w:pPr>
        <w:pStyle w:val="ListBullet"/>
        <w:spacing w:before="0" w:after="60" w:line="259" w:lineRule="auto"/>
        <w:ind w:left="331" w:hanging="187"/>
      </w:pPr>
      <w:r>
        <w:rPr>
          <w:rFonts w:ascii="Arial" w:hAnsi="Arial"/>
          <w:b w:val="0"/>
          <w:i w:val="0"/>
          <w:color w:val="000000"/>
          <w:sz w:val="20"/>
        </w:rPr>
        <w:t>The server bind is fixed at 127.0.0.1:4317 in src/server/index.ts.</w:t>
      </w:r>
    </w:p>
    <w:p>
      <w:pPr>
        <w:pStyle w:val="ListBullet"/>
        <w:spacing w:before="0" w:after="60" w:line="259" w:lineRule="auto"/>
        <w:ind w:left="331" w:hanging="187"/>
      </w:pPr>
      <w:r>
        <w:rPr>
          <w:rFonts w:ascii="Arial" w:hAnsi="Arial"/>
          <w:b w:val="0"/>
          <w:i w:val="0"/>
          <w:color w:val="000000"/>
          <w:sz w:val="20"/>
        </w:rPr>
        <w:t>NODE_ENV=production intentionally stops the server and worker entrypoints. This is a safety gate, not a production configuration.</w:t>
      </w:r>
    </w:p>
    <w:p>
      <w:pPr>
        <w:pStyle w:val="Heading2"/>
        <w:keepNext/>
        <w:spacing w:before="120" w:after="100" w:line="240" w:lineRule="auto"/>
      </w:pPr>
      <w:r>
        <w:rPr>
          <w:rFonts w:ascii="Arial" w:hAnsi="Arial"/>
          <w:b/>
          <w:i w:val="0"/>
          <w:color w:val="000000"/>
          <w:sz w:val="23"/>
        </w:rPr>
        <w:t>Safe Local Setup</w:t>
      </w:r>
    </w:p>
    <w:p>
      <w:pPr>
        <w:spacing w:before="0" w:after="0" w:line="240" w:lineRule="auto"/>
        <w:ind w:left="259" w:right="259"/>
        <w:shd w:fill="F5F6F8" w:val="clear"/>
      </w:pPr>
      <w:r>
        <w:rPr>
          <w:rFonts w:ascii="Courier New" w:hAnsi="Courier New"/>
          <w:b w:val="0"/>
          <w:i w:val="0"/>
          <w:color w:val="1F2937"/>
          <w:sz w:val="17"/>
        </w:rPr>
        <w:t>cd /path/to/GoTek-ChatBOT</w:t>
      </w:r>
    </w:p>
    <w:p>
      <w:pPr>
        <w:spacing w:before="0" w:after="0" w:line="240" w:lineRule="auto"/>
        <w:ind w:left="259" w:right="259"/>
        <w:shd w:fill="F5F6F8" w:val="clear"/>
      </w:pPr>
      <w:r>
        <w:rPr>
          <w:rFonts w:ascii="Courier New" w:hAnsi="Courier New"/>
          <w:b w:val="0"/>
          <w:i w:val="0"/>
          <w:color w:val="1F2937"/>
          <w:sz w:val="17"/>
        </w:rPr>
        <w:t>cp .env.example .env</w:t>
      </w:r>
    </w:p>
    <w:p>
      <w:pPr>
        <w:spacing w:before="0" w:after="0" w:line="240" w:lineRule="auto"/>
        <w:ind w:left="259" w:right="259"/>
        <w:shd w:fill="F5F6F8" w:val="clear"/>
      </w:pPr>
      <w:r>
        <w:rPr>
          <w:rFonts w:ascii="Courier New" w:hAnsi="Courier New"/>
          <w:b w:val="0"/>
          <w:i w:val="0"/>
          <w:color w:val="1F2937"/>
          <w:sz w:val="17"/>
        </w:rPr>
        <w:t>set -a</w:t>
      </w:r>
    </w:p>
    <w:p>
      <w:pPr>
        <w:spacing w:before="0" w:after="0" w:line="240" w:lineRule="auto"/>
        <w:ind w:left="259" w:right="259"/>
        <w:shd w:fill="F5F6F8" w:val="clear"/>
      </w:pPr>
      <w:r>
        <w:rPr>
          <w:rFonts w:ascii="Courier New" w:hAnsi="Courier New"/>
          <w:b w:val="0"/>
          <w:i w:val="0"/>
          <w:color w:val="1F2937"/>
          <w:sz w:val="17"/>
        </w:rPr>
        <w:t>source .env</w:t>
      </w:r>
    </w:p>
    <w:p>
      <w:pPr>
        <w:spacing w:before="0" w:after="0" w:line="240" w:lineRule="auto"/>
        <w:ind w:left="259" w:right="259"/>
        <w:shd w:fill="F5F6F8" w:val="clear"/>
      </w:pPr>
      <w:r>
        <w:rPr>
          <w:rFonts w:ascii="Courier New" w:hAnsi="Courier New"/>
          <w:b w:val="0"/>
          <w:i w:val="0"/>
          <w:color w:val="1F2937"/>
          <w:sz w:val="17"/>
        </w:rPr>
        <w:t>set +a</w:t>
      </w:r>
    </w:p>
    <w:p>
      <w:pPr>
        <w:spacing w:before="0" w:after="0" w:line="240" w:lineRule="auto"/>
        <w:ind w:left="259" w:right="259"/>
        <w:shd w:fill="F5F6F8" w:val="clear"/>
      </w:pPr>
      <w:r>
        <w:rPr>
          <w:rFonts w:ascii="Courier New" w:hAnsi="Courier New"/>
          <w:b w:val="0"/>
          <w:i w:val="0"/>
          <w:color w:val="1F2937"/>
          <w:sz w:val="17"/>
        </w:rPr>
        <w:t xml:space="preserve"> </w:t>
      </w:r>
    </w:p>
    <w:p>
      <w:pPr>
        <w:spacing w:before="0" w:after="0" w:line="240" w:lineRule="auto"/>
        <w:ind w:left="259" w:right="259"/>
        <w:shd w:fill="F5F6F8" w:val="clear"/>
      </w:pPr>
      <w:r>
        <w:rPr>
          <w:rFonts w:ascii="Courier New" w:hAnsi="Courier New"/>
          <w:b w:val="0"/>
          <w:i w:val="0"/>
          <w:color w:val="1F2937"/>
          <w:sz w:val="17"/>
        </w:rPr>
        <w:t>npm ci</w:t>
      </w:r>
    </w:p>
    <w:p>
      <w:pPr>
        <w:spacing w:before="0" w:after="0" w:line="240" w:lineRule="auto"/>
        <w:ind w:left="259" w:right="259"/>
        <w:shd w:fill="F5F6F8" w:val="clear"/>
      </w:pPr>
      <w:r>
        <w:rPr>
          <w:rFonts w:ascii="Courier New" w:hAnsi="Courier New"/>
          <w:b w:val="0"/>
          <w:i w:val="0"/>
          <w:color w:val="1F2937"/>
          <w:sz w:val="17"/>
        </w:rPr>
        <w:t># Start a dedicated local PostgreSQL cluster first, then:</w:t>
      </w:r>
    </w:p>
    <w:p>
      <w:pPr>
        <w:spacing w:before="0" w:after="0" w:line="240" w:lineRule="auto"/>
        <w:ind w:left="259" w:right="259"/>
        <w:shd w:fill="F5F6F8" w:val="clear"/>
      </w:pPr>
      <w:r>
        <w:rPr>
          <w:rFonts w:ascii="Courier New" w:hAnsi="Courier New"/>
          <w:b w:val="0"/>
          <w:i w:val="0"/>
          <w:color w:val="1F2937"/>
          <w:sz w:val="17"/>
        </w:rPr>
        <w:t>npm run db:setup</w:t>
      </w:r>
    </w:p>
    <w:p>
      <w:pPr>
        <w:spacing w:before="0" w:after="0" w:line="240" w:lineRule="auto"/>
        <w:ind w:left="259" w:right="259"/>
        <w:shd w:fill="F5F6F8" w:val="clear"/>
      </w:pPr>
      <w:r>
        <w:rPr>
          <w:rFonts w:ascii="Courier New" w:hAnsi="Courier New"/>
          <w:b w:val="0"/>
          <w:i w:val="0"/>
          <w:color w:val="1F2937"/>
          <w:sz w:val="17"/>
        </w:rPr>
        <w:t>npm run dev</w:t>
      </w:r>
    </w:p>
    <w:p>
      <w:pPr>
        <w:spacing w:before="0" w:after="0" w:line="240" w:lineRule="auto"/>
        <w:ind w:left="259" w:right="259"/>
        <w:shd w:fill="F5F6F8" w:val="clear"/>
      </w:pPr>
      <w:r>
        <w:rPr>
          <w:rFonts w:ascii="Courier New" w:hAnsi="Courier New"/>
          <w:b w:val="0"/>
          <w:i w:val="0"/>
          <w:color w:val="1F2937"/>
          <w:sz w:val="17"/>
        </w:rPr>
        <w:t xml:space="preserve"> </w:t>
      </w:r>
    </w:p>
    <w:p>
      <w:pPr>
        <w:spacing w:before="0" w:after="0" w:line="240" w:lineRule="auto"/>
        <w:ind w:left="259" w:right="259"/>
        <w:shd w:fill="F5F6F8" w:val="clear"/>
      </w:pPr>
      <w:r>
        <w:rPr>
          <w:rFonts w:ascii="Courier New" w:hAnsi="Courier New"/>
          <w:b w:val="0"/>
          <w:i w:val="0"/>
          <w:color w:val="1F2937"/>
          <w:sz w:val="17"/>
        </w:rPr>
        <w:t># Open the local application:</w:t>
      </w:r>
    </w:p>
    <w:p>
      <w:pPr>
        <w:spacing w:before="0" w:after="0" w:line="240" w:lineRule="auto"/>
        <w:ind w:left="259" w:right="259"/>
        <w:shd w:fill="F5F6F8" w:val="clear"/>
      </w:pPr>
      <w:r>
        <w:rPr>
          <w:rFonts w:ascii="Courier New" w:hAnsi="Courier New"/>
          <w:b w:val="0"/>
          <w:i w:val="0"/>
          <w:color w:val="1F2937"/>
          <w:sz w:val="17"/>
        </w:rPr>
        <w:t># http://127.0.0.1:4317</w:t>
      </w:r>
    </w:p>
    <w:p>
      <w:pPr>
        <w:spacing w:before="0" w:after="40" w:line="259" w:lineRule="auto"/>
      </w:pPr>
    </w:p>
    <w:p>
      <w:pPr>
        <w:spacing w:before="0" w:after="120" w:line="259" w:lineRule="auto"/>
      </w:pPr>
      <w:r>
        <w:rPr>
          <w:rFonts w:ascii="Arial" w:hAnsi="Arial"/>
          <w:b w:val="0"/>
          <w:i w:val="0"/>
          <w:color w:val="000000"/>
          <w:sz w:val="20"/>
        </w:rPr>
        <w:t>Do not commit .env or .local/runtime.json. Both are ignored by .gitignore. Keep the file permissions and local cluster private. Do not create a guessed runtime.json by hand when setup has not completed.</w:t>
      </w:r>
    </w:p>
    <w:p>
      <w:pPr>
        <w:pStyle w:val="Heading2"/>
        <w:keepNext/>
        <w:spacing w:before="120" w:after="100" w:line="240" w:lineRule="auto"/>
      </w:pPr>
      <w:r>
        <w:rPr>
          <w:rFonts w:ascii="Arial" w:hAnsi="Arial"/>
          <w:b/>
          <w:i w:val="0"/>
          <w:color w:val="000000"/>
          <w:sz w:val="23"/>
        </w:rPr>
        <w:t>Profile For An Existing Test Database</w:t>
      </w:r>
    </w:p>
    <w:p>
      <w:pPr>
        <w:spacing w:before="0" w:after="0" w:line="240" w:lineRule="auto"/>
        <w:ind w:left="259" w:right="259"/>
        <w:shd w:fill="F5F6F8" w:val="clear"/>
      </w:pPr>
      <w:r>
        <w:rPr>
          <w:rFonts w:ascii="Courier New" w:hAnsi="Courier New"/>
          <w:b w:val="0"/>
          <w:i w:val="0"/>
          <w:color w:val="1F2937"/>
          <w:sz w:val="17"/>
        </w:rPr>
        <w:t>export DATABASE_URL='postgresql://user:password@host:5432/gotek_chatbot'</w:t>
      </w:r>
    </w:p>
    <w:p>
      <w:pPr>
        <w:spacing w:before="0" w:after="0" w:line="240" w:lineRule="auto"/>
        <w:ind w:left="259" w:right="259"/>
        <w:shd w:fill="F5F6F8" w:val="clear"/>
      </w:pPr>
      <w:r>
        <w:rPr>
          <w:rFonts w:ascii="Courier New" w:hAnsi="Courier New"/>
          <w:b w:val="0"/>
          <w:i w:val="0"/>
          <w:color w:val="1F2937"/>
          <w:sz w:val="17"/>
        </w:rPr>
        <w:t>export APP_ORIGIN='http://127.0.0.1:4317'</w:t>
      </w:r>
    </w:p>
    <w:p>
      <w:pPr>
        <w:spacing w:before="0" w:after="0" w:line="240" w:lineRule="auto"/>
        <w:ind w:left="259" w:right="259"/>
        <w:shd w:fill="F5F6F8" w:val="clear"/>
      </w:pPr>
      <w:r>
        <w:rPr>
          <w:rFonts w:ascii="Courier New" w:hAnsi="Courier New"/>
          <w:b w:val="0"/>
          <w:i w:val="0"/>
          <w:color w:val="1F2937"/>
          <w:sz w:val="17"/>
        </w:rPr>
        <w:t>export COOKIE_SECURE='false'</w:t>
      </w:r>
    </w:p>
    <w:p>
      <w:pPr>
        <w:spacing w:before="0" w:after="0" w:line="240" w:lineRule="auto"/>
        <w:ind w:left="259" w:right="259"/>
        <w:shd w:fill="F5F6F8" w:val="clear"/>
      </w:pPr>
      <w:r>
        <w:rPr>
          <w:rFonts w:ascii="Courier New" w:hAnsi="Courier New"/>
          <w:b w:val="0"/>
          <w:i w:val="0"/>
          <w:color w:val="1F2937"/>
          <w:sz w:val="17"/>
        </w:rPr>
        <w:t>npm run dev</w:t>
      </w:r>
    </w:p>
    <w:p>
      <w:pPr>
        <w:spacing w:before="0" w:after="40" w:line="259" w:lineRule="auto"/>
      </w:pPr>
    </w:p>
    <w:p>
      <w:pPr>
        <w:spacing w:before="0" w:after="120" w:line="259" w:lineRule="auto"/>
      </w:pPr>
      <w:r>
        <w:rPr>
          <w:rFonts w:ascii="Arial" w:hAnsi="Arial"/>
          <w:b w:val="0"/>
          <w:i w:val="0"/>
          <w:color w:val="000000"/>
          <w:sz w:val="20"/>
        </w:rPr>
        <w:t>Use this only for a database explicitly provisioned for local/test and tenant-isolation checks. The setup script still bootstraps its own local cluster configuration; migration behavior for an external database is UNKNOWN / NEEDS VERIFICATION.</w:t>
      </w:r>
    </w:p>
    <w:p>
      <w:pPr>
        <w:pStyle w:val="Heading2"/>
        <w:keepNext/>
        <w:spacing w:before="120" w:after="100" w:line="240" w:lineRule="auto"/>
      </w:pPr>
      <w:r>
        <w:rPr>
          <w:rFonts w:ascii="Arial" w:hAnsi="Arial"/>
          <w:b/>
          <w:i w:val="0"/>
          <w:color w:val="000000"/>
          <w:sz w:val="23"/>
        </w:rPr>
        <w:t>Preview The Frontend Build</w:t>
      </w:r>
    </w:p>
    <w:p>
      <w:pPr>
        <w:spacing w:before="0" w:after="0" w:line="240" w:lineRule="auto"/>
        <w:ind w:left="259" w:right="259"/>
        <w:shd w:fill="F5F6F8" w:val="clear"/>
      </w:pPr>
      <w:r>
        <w:rPr>
          <w:rFonts w:ascii="Courier New" w:hAnsi="Courier New"/>
          <w:b w:val="0"/>
          <w:i w:val="0"/>
          <w:color w:val="1F2937"/>
          <w:sz w:val="17"/>
        </w:rPr>
        <w:t>npm run build</w:t>
      </w:r>
    </w:p>
    <w:p>
      <w:pPr>
        <w:spacing w:before="0" w:after="0" w:line="240" w:lineRule="auto"/>
        <w:ind w:left="259" w:right="259"/>
        <w:shd w:fill="F5F6F8" w:val="clear"/>
      </w:pPr>
      <w:r>
        <w:rPr>
          <w:rFonts w:ascii="Courier New" w:hAnsi="Courier New"/>
          <w:b w:val="0"/>
          <w:i w:val="0"/>
          <w:color w:val="1F2937"/>
          <w:sz w:val="17"/>
        </w:rPr>
        <w:t>SERVE_BUILD=true npm run dev</w:t>
      </w:r>
    </w:p>
    <w:p>
      <w:pPr>
        <w:spacing w:before="0" w:after="40" w:line="259" w:lineRule="auto"/>
      </w:pPr>
    </w:p>
    <w:p>
      <w:pPr>
        <w:spacing w:before="0" w:after="120" w:line="259" w:lineRule="auto"/>
      </w:pPr>
      <w:r>
        <w:rPr>
          <w:rFonts w:ascii="Arial" w:hAnsi="Arial"/>
          <w:b w:val="0"/>
          <w:i w:val="0"/>
          <w:color w:val="000000"/>
          <w:sz w:val="20"/>
        </w:rPr>
        <w:t>SERVE_BUILD=true changes only how the frontend is served after a build. It does not enable production mode or create a deployable production server.</w:t>
      </w:r>
    </w:p>
    <w:p>
      <w:r>
        <w:br w:type="page"/>
      </w:r>
    </w:p>
    <w:p>
      <w:pPr>
        <w:pStyle w:val="Heading1"/>
        <w:keepNext/>
        <w:spacing w:before="200" w:after="100" w:line="240" w:lineRule="auto"/>
      </w:pPr>
      <w:r>
        <w:rPr>
          <w:rFonts w:ascii="Arial" w:hAnsi="Arial"/>
          <w:b/>
          <w:i w:val="0"/>
          <w:color w:val="000000"/>
          <w:sz w:val="30"/>
        </w:rPr>
        <w:t>3 Complete Environment Variable Reference</w:t>
      </w:r>
    </w:p>
    <w:p>
      <w:pPr>
        <w:spacing w:before="0" w:after="120" w:line="259" w:lineRule="auto"/>
      </w:pPr>
      <w:r>
        <w:rPr>
          <w:rFonts w:ascii="Arial" w:hAnsi="Arial"/>
          <w:b w:val="0"/>
          <w:i w:val="0"/>
          <w:color w:val="000000"/>
          <w:sz w:val="20"/>
        </w:rPr>
        <w:t>The values below are derived from process.env references in src/server, scripts and the existing .env.example. A blank value in the template means the variable is not required for the base local profile; it does not mean a secret is optional when a provider is enabled.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9"/>
        <w:gridCol w:w="1999"/>
        <w:gridCol w:w="1999"/>
        <w:gridCol w:w="1999"/>
        <w:gridCol w:w="1999"/>
      </w:tblGrid>
      <w:tr>
        <w:trPr>
          <w:tblHeader w:val="true"/>
          <w:cantSplit/>
        </w:trP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shd w:fill="0A1A4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Variable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shd w:fill="0A1A4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Required</w:t>
            </w:r>
          </w:p>
        </w:tc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shd w:fill="0A1A4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Default or effect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shd w:fill="0A1A4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Read by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shd w:fill="0A1A4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Developer meaning</w:t>
            </w:r>
          </w:p>
        </w:tc>
      </w:tr>
      <w:tr>
        <w:trPr>
          <w:cantSplit/>
        </w:trP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DATABASE_URL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No for local fallback</w:t>
            </w:r>
          </w:p>
        </w:tc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Empty/unset -&gt; .local/runtime.json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src/server/db.ts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PostgreSQL connection string override. Do not export an empty fake URL.</w:t>
            </w:r>
          </w:p>
        </w:tc>
      </w:tr>
      <w:tr>
        <w:trPr>
          <w:cantSplit/>
        </w:trP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shd w:fill="EAF3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NODE_ENV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shd w:fill="EAF3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No</w:t>
            </w:r>
          </w:p>
        </w:tc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shd w:fill="EAF3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development recommended; production rejected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shd w:fill="EAF3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server and worker entrypoints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shd w:fill="EAF3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Controls the explicit local/test safety guard.</w:t>
            </w:r>
          </w:p>
        </w:tc>
      </w:tr>
      <w:tr>
        <w:trPr>
          <w:cantSplit/>
        </w:trP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SERVE_BUILD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No</w:t>
            </w:r>
          </w:p>
        </w:tc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Anything except true -&gt; Vite middleware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src/server/index.ts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Set true only after npm run build for local preview.</w:t>
            </w:r>
          </w:p>
        </w:tc>
      </w:tr>
      <w:tr>
        <w:trPr>
          <w:cantSplit/>
        </w:trP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shd w:fill="EAF3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APP_ORIGIN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shd w:fill="EAF3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No</w:t>
            </w:r>
          </w:p>
        </w:tc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shd w:fill="EAF3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http://127.0.0.1:4317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shd w:fill="EAF3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app.ts, channels.ts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shd w:fill="EAF3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Exact origin used for CSRF and widget installation metadata.</w:t>
            </w:r>
          </w:p>
        </w:tc>
      </w:tr>
      <w:tr>
        <w:trPr>
          <w:cantSplit/>
        </w:trP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COOKIE_SECURE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No</w:t>
            </w:r>
          </w:p>
        </w:tc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false for local HTTP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src/server/app.ts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Set true only when the actual browser origin uses HTTPS.</w:t>
            </w:r>
          </w:p>
        </w:tc>
      </w:tr>
      <w:tr>
        <w:trPr>
          <w:cantSplit/>
        </w:trP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shd w:fill="EAF3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GOTEK_DEFAULT_AI_RESPONSE_QUOTA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shd w:fill="EAF3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No</w:t>
            </w:r>
          </w:p>
        </w:tc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shd w:fill="EAF3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1000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shd w:fill="EAF3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src/server/app.ts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shd w:fill="EAF3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Default budget on new signup only; does not change existing workspaces.</w:t>
            </w:r>
          </w:p>
        </w:tc>
      </w:tr>
      <w:tr>
        <w:trPr>
          <w:cantSplit/>
        </w:trP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GOTEK_WORKER_WORKSPACE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Worker-specific</w:t>
            </w:r>
          </w:p>
        </w:tc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None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AI, embedding and web scripts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UUID of the trusted worker tenant; never comes from a widget body.</w:t>
            </w:r>
          </w:p>
        </w:tc>
      </w:tr>
      <w:tr>
        <w:trPr>
          <w:cantSplit/>
        </w:trP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shd w:fill="EAF3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GOTEK_KNOWLEDGE_VERSION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shd w:fill="EAF3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Embedding worker</w:t>
            </w:r>
          </w:p>
        </w:tc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shd w:fill="EAF3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None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shd w:fill="EAF3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scripts/embed-knowledge.ts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shd w:fill="EAF3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UUID of the version selected for embedding.</w:t>
            </w:r>
          </w:p>
        </w:tc>
      </w:tr>
      <w:tr>
        <w:trPr>
          <w:cantSplit/>
        </w:trP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GOTEK_EMBEDDING_MODEL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Embedding worker</w:t>
            </w:r>
          </w:p>
        </w:tc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None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scripts/embed-knowledge.ts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UUID of a granted active embedding model.</w:t>
            </w:r>
          </w:p>
        </w:tc>
      </w:tr>
      <w:tr>
        <w:trPr>
          <w:cantSplit/>
        </w:trP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shd w:fill="EAF3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GOTEK_EMBEDDING_BATCH_SIZE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shd w:fill="EAF3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No</w:t>
            </w:r>
          </w:p>
        </w:tc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shd w:fill="EAF3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20; valid 1..100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shd w:fill="EAF3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scripts/embed-knowledge.ts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shd w:fill="EAF3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Chunk batch size, not a provider token limit.</w:t>
            </w:r>
          </w:p>
        </w:tc>
      </w:tr>
      <w:tr>
        <w:trPr>
          <w:cantSplit/>
        </w:trP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GOTEK_PROMPT_MICROS_PER_1K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No</w:t>
            </w:r>
          </w:p>
        </w:tc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0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src/server/ai-reply-worker.ts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Internal micro-unit rate for 1,000 prompt tokens.</w:t>
            </w:r>
          </w:p>
        </w:tc>
      </w:tr>
      <w:tr>
        <w:trPr>
          <w:cantSplit/>
        </w:trP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shd w:fill="EAF3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GOTEK_COMPLETION_MICROS_PER_1K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shd w:fill="EAF3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No</w:t>
            </w:r>
          </w:p>
        </w:tc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shd w:fill="EAF3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0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shd w:fill="EAF3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src/server/ai-reply-worker.ts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shd w:fill="EAF3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Internal micro-unit rate for 1,000 completion tokens.</w:t>
            </w:r>
          </w:p>
        </w:tc>
      </w:tr>
    </w:tbl>
    <w:p>
      <w:pPr>
        <w:spacing w:after="20"/>
      </w:pPr>
    </w:p>
    <w:p>
      <w:pPr>
        <w:spacing w:before="0" w:after="80" w:line="259" w:lineRule="auto"/>
      </w:pPr>
      <w:r>
        <w:rPr>
          <w:rFonts w:ascii="Arial" w:hAnsi="Arial"/>
          <w:b w:val="0"/>
          <w:i w:val="0"/>
          <w:color w:val="000000"/>
          <w:sz w:val="20"/>
        </w:rPr>
        <w:t>The two *_MICROS_PER_1K variables are parsed as non-negative BigInt values. Use digits only. They are internal ledger rates, not vendor pricing, a payment authorization or a production billing policy. Missing provider token usage can be estimated from text; that estimate is not an external receipt.</w:t>
      </w:r>
    </w:p>
    <w:p>
      <w:pPr>
        <w:pStyle w:val="Heading2"/>
        <w:keepNext/>
        <w:spacing w:before="120" w:after="100" w:line="240" w:lineRule="auto"/>
      </w:pPr>
      <w:r>
        <w:rPr>
          <w:rFonts w:ascii="Arial" w:hAnsi="Arial"/>
          <w:b/>
          <w:i w:val="0"/>
          <w:color w:val="000000"/>
          <w:sz w:val="23"/>
        </w:rPr>
        <w:t>Test-Only Variable</w:t>
      </w:r>
    </w:p>
    <w:p>
      <w:pPr>
        <w:spacing w:before="0" w:after="120" w:line="259" w:lineRule="auto"/>
      </w:pPr>
      <w:r>
        <w:rPr>
          <w:rFonts w:ascii="Arial" w:hAnsi="Arial"/>
          <w:b w:val="0"/>
          <w:i w:val="0"/>
          <w:color w:val="000000"/>
          <w:sz w:val="20"/>
        </w:rPr>
        <w:t>tests/grounded-widget-flow.test.ts temporarily sets GOTEK_GROUNDED_TEST_KEY as a fixture-only secret and removes it after the test. It is not a runtime setting and must not be filled with a real API key.</w:t>
      </w:r>
    </w:p>
    <w:p>
      <w:r>
        <w:br w:type="page"/>
      </w:r>
    </w:p>
    <w:p>
      <w:pPr>
        <w:pStyle w:val="Heading1"/>
        <w:keepNext/>
        <w:spacing w:before="200" w:after="100" w:line="240" w:lineRule="auto"/>
      </w:pPr>
      <w:r>
        <w:rPr>
          <w:rFonts w:ascii="Arial" w:hAnsi="Arial"/>
          <w:b/>
          <w:i w:val="0"/>
          <w:color w:val="000000"/>
          <w:sz w:val="30"/>
        </w:rPr>
        <w:t>4 Provider Secrets And AI Adapters</w:t>
      </w:r>
    </w:p>
    <w:p>
      <w:pPr>
        <w:spacing w:before="0" w:after="120" w:line="259" w:lineRule="auto"/>
      </w:pPr>
      <w:r>
        <w:rPr>
          <w:rFonts w:ascii="Arial" w:hAnsi="Arial"/>
          <w:b w:val="0"/>
          <w:i w:val="0"/>
          <w:color w:val="000000"/>
          <w:sz w:val="20"/>
        </w:rPr>
        <w:t>A Platform Admin creates a provider with a secretRef name. The database stores that name, such as GOTEK_OPENAI_API_KEY, but never stores the key value. When a provider is enabled or a worker is about to call it, server code checks process.env[secret_ref].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  <w:cantSplit/>
        </w:trPr>
        <w:tc>
          <w:tcPr>
            <w:tcW w:type="dxa" w:w="1655"/>
            <w:tcMar>
              <w:top w:w="90" w:type="dxa"/>
              <w:start w:w="110" w:type="dxa"/>
              <w:bottom w:w="90" w:type="dxa"/>
              <w:end w:w="110" w:type="dxa"/>
            </w:tcMar>
            <w:shd w:fill="0057E1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Adapter</w:t>
            </w:r>
          </w:p>
        </w:tc>
        <w:tc>
          <w:tcPr>
            <w:tcW w:type="dxa" w:w="3240"/>
            <w:tcMar>
              <w:top w:w="90" w:type="dxa"/>
              <w:start w:w="110" w:type="dxa"/>
              <w:bottom w:w="90" w:type="dxa"/>
              <w:end w:w="110" w:type="dxa"/>
            </w:tcMar>
            <w:shd w:fill="0057E1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Endpoint behavior</w:t>
            </w:r>
          </w:p>
        </w:tc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shd w:fill="0057E1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Secret handling</w:t>
            </w:r>
          </w:p>
        </w:tc>
        <w:tc>
          <w:tcPr>
            <w:tcW w:type="dxa" w:w="3311"/>
            <w:tcMar>
              <w:top w:w="90" w:type="dxa"/>
              <w:start w:w="110" w:type="dxa"/>
              <w:bottom w:w="90" w:type="dxa"/>
              <w:end w:w="110" w:type="dxa"/>
            </w:tcMar>
            <w:shd w:fill="0057E1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Current status</w:t>
            </w:r>
          </w:p>
        </w:tc>
      </w:tr>
      <w:tr>
        <w:trPr>
          <w:cantSplit/>
        </w:trPr>
        <w:tc>
          <w:tcPr>
            <w:tcW w:type="dxa" w:w="1655"/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openai / chatgpt</w:t>
            </w:r>
          </w:p>
        </w:tc>
        <w:tc>
          <w:tcPr>
            <w:tcW w:type="dxa" w:w="3240"/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OpenAI-compatible chat completions when baseUrl is absent</w:t>
            </w:r>
          </w:p>
        </w:tc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Exact secret_ref variable in server process</w:t>
            </w:r>
          </w:p>
        </w:tc>
        <w:tc>
          <w:tcPr>
            <w:tcW w:type="dxa" w:w="3311"/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Transport and injected tests exist; live receipt UNKNOWN / NEEDS VERIFICATION</w:t>
            </w:r>
          </w:p>
        </w:tc>
      </w:tr>
      <w:tr>
        <w:trPr>
          <w:cantSplit/>
        </w:trPr>
        <w:tc>
          <w:tcPr>
            <w:tcW w:type="dxa" w:w="1655"/>
            <w:tcMar>
              <w:top w:w="90" w:type="dxa"/>
              <w:start w:w="110" w:type="dxa"/>
              <w:bottom w:w="90" w:type="dxa"/>
              <w:end w:w="110" w:type="dxa"/>
            </w:tcMar>
            <w:shd w:fill="EAF3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gemini</w:t>
            </w:r>
          </w:p>
        </w:tc>
        <w:tc>
          <w:tcPr>
            <w:tcW w:type="dxa" w:w="3240"/>
            <w:tcMar>
              <w:top w:w="90" w:type="dxa"/>
              <w:start w:w="110" w:type="dxa"/>
              <w:bottom w:w="90" w:type="dxa"/>
              <w:end w:w="110" w:type="dxa"/>
            </w:tcMar>
            <w:shd w:fill="EAF3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Google Generative Language generateContent when baseUrl is absent</w:t>
            </w:r>
          </w:p>
        </w:tc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shd w:fill="EAF3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Exact secret_ref variable in server process</w:t>
            </w:r>
          </w:p>
        </w:tc>
        <w:tc>
          <w:tcPr>
            <w:tcW w:type="dxa" w:w="3311"/>
            <w:tcMar>
              <w:top w:w="90" w:type="dxa"/>
              <w:start w:w="110" w:type="dxa"/>
              <w:bottom w:w="90" w:type="dxa"/>
              <w:end w:w="110" w:type="dxa"/>
            </w:tcMar>
            <w:shd w:fill="EAF3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Transport exists; authorized model and live receipt required</w:t>
            </w:r>
          </w:p>
        </w:tc>
      </w:tr>
      <w:tr>
        <w:trPr>
          <w:cantSplit/>
        </w:trPr>
        <w:tc>
          <w:tcPr>
            <w:tcW w:type="dxa" w:w="1655"/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anthropic</w:t>
            </w:r>
          </w:p>
        </w:tc>
        <w:tc>
          <w:tcPr>
            <w:tcW w:type="dxa" w:w="3240"/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Anthropic Messages API when baseUrl is absent</w:t>
            </w:r>
          </w:p>
        </w:tc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Exact secret_ref variable in server process</w:t>
            </w:r>
          </w:p>
        </w:tc>
        <w:tc>
          <w:tcPr>
            <w:tcW w:type="dxa" w:w="3311"/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Transport exists; authorized model and live receipt required</w:t>
            </w:r>
          </w:p>
        </w:tc>
      </w:tr>
      <w:tr>
        <w:trPr>
          <w:cantSplit/>
        </w:trPr>
        <w:tc>
          <w:tcPr>
            <w:tcW w:type="dxa" w:w="1655"/>
            <w:tcMar>
              <w:top w:w="90" w:type="dxa"/>
              <w:start w:w="110" w:type="dxa"/>
              <w:bottom w:w="90" w:type="dxa"/>
              <w:end w:w="110" w:type="dxa"/>
            </w:tcMar>
            <w:shd w:fill="EAF3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claude_code</w:t>
            </w:r>
          </w:p>
        </w:tc>
        <w:tc>
          <w:tcPr>
            <w:tcW w:type="dxa" w:w="3240"/>
            <w:tcMar>
              <w:top w:w="90" w:type="dxa"/>
              <w:start w:w="110" w:type="dxa"/>
              <w:bottom w:w="90" w:type="dxa"/>
              <w:end w:w="110" w:type="dxa"/>
            </w:tcMar>
            <w:shd w:fill="EAF3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Currently uses the Anthropic-compatible transport</w:t>
            </w:r>
          </w:p>
        </w:tc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shd w:fill="EAF3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Exact secret_ref variable in server process</w:t>
            </w:r>
          </w:p>
        </w:tc>
        <w:tc>
          <w:tcPr>
            <w:tcW w:type="dxa" w:w="3311"/>
            <w:tcMar>
              <w:top w:w="90" w:type="dxa"/>
              <w:start w:w="110" w:type="dxa"/>
              <w:bottom w:w="90" w:type="dxa"/>
              <w:end w:w="110" w:type="dxa"/>
            </w:tcMar>
            <w:shd w:fill="EAF3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Does not prove a Claude Code CLI process; product decision remains open</w:t>
            </w:r>
          </w:p>
        </w:tc>
      </w:tr>
      <w:tr>
        <w:trPr>
          <w:cantSplit/>
        </w:trPr>
        <w:tc>
          <w:tcPr>
            <w:tcW w:type="dxa" w:w="1655"/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custom_llm</w:t>
            </w:r>
          </w:p>
        </w:tc>
        <w:tc>
          <w:tcPr>
            <w:tcW w:type="dxa" w:w="3240"/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Requires an HTTPS baseUrl and provider target policy</w:t>
            </w:r>
          </w:p>
        </w:tc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Exact secret_ref variable in server process</w:t>
            </w:r>
          </w:p>
        </w:tc>
        <w:tc>
          <w:tcPr>
            <w:tcW w:type="dxa" w:w="3311"/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Needs endpoint contract and receipt verification</w:t>
            </w:r>
          </w:p>
        </w:tc>
      </w:tr>
      <w:tr>
        <w:trPr>
          <w:cantSplit/>
        </w:trPr>
        <w:tc>
          <w:tcPr>
            <w:tcW w:type="dxa" w:w="1655"/>
            <w:tcMar>
              <w:top w:w="90" w:type="dxa"/>
              <w:start w:w="110" w:type="dxa"/>
              <w:bottom w:w="90" w:type="dxa"/>
              <w:end w:w="110" w:type="dxa"/>
            </w:tcMar>
            <w:shd w:fill="EAF3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local</w:t>
            </w:r>
          </w:p>
        </w:tc>
        <w:tc>
          <w:tcPr>
            <w:tcW w:type="dxa" w:w="3240"/>
            <w:tcMar>
              <w:top w:w="90" w:type="dxa"/>
              <w:start w:w="110" w:type="dxa"/>
              <w:bottom w:w="90" w:type="dxa"/>
              <w:end w:w="110" w:type="dxa"/>
            </w:tcMar>
            <w:shd w:fill="EAF3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No inference engine</w:t>
            </w:r>
          </w:p>
        </w:tc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shd w:fill="EAF3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No transport secret dereference</w:t>
            </w:r>
          </w:p>
        </w:tc>
        <w:tc>
          <w:tcPr>
            <w:tcW w:type="dxa" w:w="3311"/>
            <w:tcMar>
              <w:top w:w="90" w:type="dxa"/>
              <w:start w:w="110" w:type="dxa"/>
              <w:bottom w:w="90" w:type="dxa"/>
              <w:end w:w="110" w:type="dxa"/>
            </w:tcMar>
            <w:shd w:fill="EAF3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Represents not configured; it does not produce an AI answer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20" w:after="100" w:line="240" w:lineRule="auto"/>
      </w:pPr>
      <w:r>
        <w:rPr>
          <w:rFonts w:ascii="Arial" w:hAnsi="Arial"/>
          <w:b/>
          <w:i w:val="0"/>
          <w:color w:val="000000"/>
          <w:sz w:val="23"/>
        </w:rPr>
        <w:t>Provider Secret Example</w:t>
      </w:r>
    </w:p>
    <w:p>
      <w:pPr>
        <w:spacing w:before="0" w:after="0" w:line="240" w:lineRule="auto"/>
        <w:ind w:left="259" w:right="259"/>
        <w:shd w:fill="F5F6F8" w:val="clear"/>
      </w:pPr>
      <w:r>
        <w:rPr>
          <w:rFonts w:ascii="Courier New" w:hAnsi="Courier New"/>
          <w:b w:val="0"/>
          <w:i w:val="0"/>
          <w:color w:val="1F2937"/>
          <w:sz w:val="17"/>
        </w:rPr>
        <w:t># These are names and placeholder values only.</w:t>
      </w:r>
    </w:p>
    <w:p>
      <w:pPr>
        <w:spacing w:before="0" w:after="0" w:line="240" w:lineRule="auto"/>
        <w:ind w:left="259" w:right="259"/>
        <w:shd w:fill="F5F6F8" w:val="clear"/>
      </w:pPr>
      <w:r>
        <w:rPr>
          <w:rFonts w:ascii="Courier New" w:hAnsi="Courier New"/>
          <w:b w:val="0"/>
          <w:i w:val="0"/>
          <w:color w:val="1F2937"/>
          <w:sz w:val="17"/>
        </w:rPr>
        <w:t># Replace only in a private local secret store.</w:t>
      </w:r>
    </w:p>
    <w:p>
      <w:pPr>
        <w:spacing w:before="0" w:after="0" w:line="240" w:lineRule="auto"/>
        <w:ind w:left="259" w:right="259"/>
        <w:shd w:fill="F5F6F8" w:val="clear"/>
      </w:pPr>
      <w:r>
        <w:rPr>
          <w:rFonts w:ascii="Courier New" w:hAnsi="Courier New"/>
          <w:b w:val="0"/>
          <w:i w:val="0"/>
          <w:color w:val="1F2937"/>
          <w:sz w:val="17"/>
        </w:rPr>
        <w:t>export GOTEK_OPENAI_API_KEY='replace-locally'</w:t>
      </w:r>
    </w:p>
    <w:p>
      <w:pPr>
        <w:spacing w:before="0" w:after="0" w:line="240" w:lineRule="auto"/>
        <w:ind w:left="259" w:right="259"/>
        <w:shd w:fill="F5F6F8" w:val="clear"/>
      </w:pPr>
      <w:r>
        <w:rPr>
          <w:rFonts w:ascii="Courier New" w:hAnsi="Courier New"/>
          <w:b w:val="0"/>
          <w:i w:val="0"/>
          <w:color w:val="1F2937"/>
          <w:sz w:val="17"/>
        </w:rPr>
        <w:t>export GOTEK_GEMINI_API_KEY='replace-locally'</w:t>
      </w:r>
    </w:p>
    <w:p>
      <w:pPr>
        <w:spacing w:before="0" w:after="0" w:line="240" w:lineRule="auto"/>
        <w:ind w:left="259" w:right="259"/>
        <w:shd w:fill="F5F6F8" w:val="clear"/>
      </w:pPr>
      <w:r>
        <w:rPr>
          <w:rFonts w:ascii="Courier New" w:hAnsi="Courier New"/>
          <w:b w:val="0"/>
          <w:i w:val="0"/>
          <w:color w:val="1F2937"/>
          <w:sz w:val="17"/>
        </w:rPr>
        <w:t>export GOTEK_ANTHROPIC_API_KEY='replace-locally'</w:t>
      </w:r>
    </w:p>
    <w:p>
      <w:pPr>
        <w:spacing w:before="0" w:after="0" w:line="240" w:lineRule="auto"/>
        <w:ind w:left="259" w:right="259"/>
        <w:shd w:fill="F5F6F8" w:val="clear"/>
      </w:pPr>
      <w:r>
        <w:rPr>
          <w:rFonts w:ascii="Courier New" w:hAnsi="Courier New"/>
          <w:b w:val="0"/>
          <w:i w:val="0"/>
          <w:color w:val="1F2937"/>
          <w:sz w:val="17"/>
        </w:rPr>
        <w:t>export GOTEK_CUSTOM_LLM_API_KEY='replace-locally'</w:t>
      </w:r>
    </w:p>
    <w:p>
      <w:pPr>
        <w:spacing w:before="0" w:after="40" w:line="259" w:lineRule="auto"/>
      </w:pPr>
    </w:p>
    <w:p>
      <w:pPr>
        <w:pStyle w:val="ListBullet"/>
        <w:spacing w:before="0" w:after="60" w:line="259" w:lineRule="auto"/>
        <w:ind w:left="331" w:hanging="187"/>
      </w:pPr>
      <w:r>
        <w:rPr>
          <w:rFonts w:ascii="Arial" w:hAnsi="Arial"/>
          <w:b w:val="0"/>
          <w:i w:val="0"/>
          <w:color w:val="000000"/>
          <w:sz w:val="20"/>
        </w:rPr>
        <w:t>Export the variable in the same shell that runs the server or worker, then restart that process.</w:t>
      </w:r>
    </w:p>
    <w:p>
      <w:pPr>
        <w:pStyle w:val="ListBullet"/>
        <w:spacing w:before="0" w:after="60" w:line="259" w:lineRule="auto"/>
        <w:ind w:left="331" w:hanging="187"/>
      </w:pPr>
      <w:r>
        <w:rPr>
          <w:rFonts w:ascii="Arial" w:hAnsi="Arial"/>
          <w:b w:val="0"/>
          <w:i w:val="0"/>
          <w:color w:val="000000"/>
          <w:sz w:val="20"/>
        </w:rPr>
        <w:t>Use the exact uppercase secret_ref stored in the provider row. Do not invent a second name.</w:t>
      </w:r>
    </w:p>
    <w:p>
      <w:pPr>
        <w:pStyle w:val="ListBullet"/>
        <w:spacing w:before="0" w:after="60" w:line="259" w:lineRule="auto"/>
        <w:ind w:left="331" w:hanging="187"/>
      </w:pPr>
      <w:r>
        <w:rPr>
          <w:rFonts w:ascii="Arial" w:hAnsi="Arial"/>
          <w:b w:val="0"/>
          <w:i w:val="0"/>
          <w:color w:val="000000"/>
          <w:sz w:val="20"/>
        </w:rPr>
        <w:t>Never put a provider key in POST /api/platform/providers, the UI, widget payload, job payload, audit export, logs or Git.</w:t>
      </w:r>
    </w:p>
    <w:p>
      <w:pPr>
        <w:pStyle w:val="ListBullet"/>
        <w:spacing w:before="0" w:after="60" w:line="259" w:lineRule="auto"/>
        <w:ind w:left="331" w:hanging="187"/>
      </w:pPr>
      <w:r>
        <w:rPr>
          <w:rFonts w:ascii="Arial" w:hAnsi="Arial"/>
          <w:b w:val="0"/>
          <w:i w:val="0"/>
          <w:color w:val="000000"/>
          <w:sz w:val="20"/>
        </w:rPr>
        <w:t>A provider transport or injected test proves parsing and stable errors, not vendor availability, cost or grounding quality.</w:t>
      </w:r>
    </w:p>
    <w:p>
      <w:pPr>
        <w:pStyle w:val="Heading2"/>
        <w:keepNext/>
        <w:spacing w:before="120" w:after="100" w:line="240" w:lineRule="auto"/>
      </w:pPr>
      <w:r>
        <w:rPr>
          <w:rFonts w:ascii="Arial" w:hAnsi="Arial"/>
          <w:b/>
          <w:i w:val="0"/>
          <w:color w:val="000000"/>
          <w:sz w:val="23"/>
        </w:rPr>
        <w:t>Provider Configuration Sequence</w:t>
      </w:r>
    </w:p>
    <w:p>
      <w:pPr>
        <w:pStyle w:val="ListNumber"/>
        <w:spacing w:before="0" w:after="60" w:line="259" w:lineRule="auto"/>
        <w:ind w:left="403" w:hanging="259"/>
      </w:pPr>
      <w:r>
        <w:rPr>
          <w:rFonts w:ascii="Arial" w:hAnsi="Arial"/>
          <w:b w:val="0"/>
          <w:i w:val="0"/>
          <w:color w:val="000000"/>
          <w:sz w:val="20"/>
        </w:rPr>
        <w:t>Register provider with adapter, secretRef and optional baseUrl.</w:t>
      </w:r>
    </w:p>
    <w:p>
      <w:pPr>
        <w:pStyle w:val="ListNumber"/>
        <w:spacing w:before="0" w:after="60" w:line="259" w:lineRule="auto"/>
        <w:ind w:left="403" w:hanging="259"/>
      </w:pPr>
      <w:r>
        <w:rPr>
          <w:rFonts w:ascii="Arial" w:hAnsi="Arial"/>
          <w:b w:val="0"/>
          <w:i w:val="0"/>
          <w:color w:val="000000"/>
          <w:sz w:val="20"/>
        </w:rPr>
        <w:t>Export the matching server-side secret and restart the relevant process.</w:t>
      </w:r>
    </w:p>
    <w:p>
      <w:pPr>
        <w:pStyle w:val="ListNumber"/>
        <w:spacing w:before="0" w:after="60" w:line="259" w:lineRule="auto"/>
        <w:ind w:left="403" w:hanging="259"/>
      </w:pPr>
      <w:r>
        <w:rPr>
          <w:rFonts w:ascii="Arial" w:hAnsi="Arial"/>
          <w:b w:val="0"/>
          <w:i w:val="0"/>
          <w:color w:val="000000"/>
          <w:sz w:val="20"/>
        </w:rPr>
        <w:t>Create and enable a model with chat or embedding capability.</w:t>
      </w:r>
    </w:p>
    <w:p>
      <w:pPr>
        <w:pStyle w:val="ListNumber"/>
        <w:spacing w:before="0" w:after="60" w:line="259" w:lineRule="auto"/>
        <w:ind w:left="403" w:hanging="259"/>
      </w:pPr>
      <w:r>
        <w:rPr>
          <w:rFonts w:ascii="Arial" w:hAnsi="Arial"/>
          <w:b w:val="0"/>
          <w:i w:val="0"/>
          <w:color w:val="000000"/>
          <w:sz w:val="20"/>
        </w:rPr>
        <w:t>Grant the model to the intended workspace and capability; check expiry and active state.</w:t>
      </w:r>
    </w:p>
    <w:p>
      <w:pPr>
        <w:pStyle w:val="ListNumber"/>
        <w:spacing w:before="0" w:after="60" w:line="259" w:lineRule="auto"/>
        <w:ind w:left="403" w:hanging="259"/>
      </w:pPr>
      <w:r>
        <w:rPr>
          <w:rFonts w:ascii="Arial" w:hAnsi="Arial"/>
          <w:b w:val="0"/>
          <w:i w:val="0"/>
          <w:color w:val="000000"/>
          <w:sz w:val="20"/>
        </w:rPr>
        <w:t>Run the authorized connectivity test and save the redacted result in delivery/evidence.</w:t>
      </w:r>
    </w:p>
    <w:p>
      <w:pPr>
        <w:pStyle w:val="ListNumber"/>
        <w:spacing w:before="0" w:after="60" w:line="259" w:lineRule="auto"/>
        <w:ind w:left="403" w:hanging="259"/>
      </w:pPr>
      <w:r>
        <w:rPr>
          <w:rFonts w:ascii="Arial" w:hAnsi="Arial"/>
          <w:b w:val="0"/>
          <w:i w:val="0"/>
          <w:color w:val="000000"/>
          <w:sz w:val="20"/>
        </w:rPr>
        <w:t>For grounded AI, use a PUBLIC and READY knowledge version and verify tenant, source and ownership fences.</w:t>
      </w:r>
    </w:p>
    <w:p>
      <w:r>
        <w:br w:type="page"/>
      </w:r>
    </w:p>
    <w:p>
      <w:pPr>
        <w:pStyle w:val="Heading1"/>
        <w:keepNext/>
        <w:spacing w:before="200" w:after="100" w:line="240" w:lineRule="auto"/>
      </w:pPr>
      <w:r>
        <w:rPr>
          <w:rFonts w:ascii="Arial" w:hAnsi="Arial"/>
          <w:b/>
          <w:i w:val="0"/>
          <w:color w:val="000000"/>
          <w:sz w:val="30"/>
        </w:rPr>
        <w:t>5 Worker Profiles And Commands</w:t>
      </w:r>
    </w:p>
    <w:p>
      <w:pPr>
        <w:spacing w:before="0" w:after="120" w:line="259" w:lineRule="auto"/>
      </w:pPr>
      <w:r>
        <w:rPr>
          <w:rFonts w:ascii="Arial" w:hAnsi="Arial"/>
          <w:b w:val="0"/>
          <w:i w:val="0"/>
          <w:color w:val="000000"/>
          <w:sz w:val="20"/>
        </w:rPr>
        <w:t>Workers are independent processes. A new terminal does not inherit variables from another terminal. Use a real UUID from the local/test database, never an ID copied from another tenant or a production account.</w:t>
      </w:r>
    </w:p>
    <w:p>
      <w:pPr>
        <w:pStyle w:val="Heading2"/>
        <w:keepNext/>
        <w:spacing w:before="120" w:after="100" w:line="240" w:lineRule="auto"/>
      </w:pPr>
      <w:r>
        <w:rPr>
          <w:rFonts w:ascii="Arial" w:hAnsi="Arial"/>
          <w:b/>
          <w:i w:val="0"/>
          <w:color w:val="000000"/>
          <w:sz w:val="23"/>
        </w:rPr>
        <w:t>AI Reply Worker For One Workspace</w:t>
      </w:r>
    </w:p>
    <w:p>
      <w:pPr>
        <w:spacing w:before="0" w:after="0" w:line="240" w:lineRule="auto"/>
        <w:ind w:left="259" w:right="259"/>
        <w:shd w:fill="F5F6F8" w:val="clear"/>
      </w:pPr>
      <w:r>
        <w:rPr>
          <w:rFonts w:ascii="Courier New" w:hAnsi="Courier New"/>
          <w:b w:val="0"/>
          <w:i w:val="0"/>
          <w:color w:val="1F2937"/>
          <w:sz w:val="17"/>
        </w:rPr>
        <w:t>set -a; source .env; set +a</w:t>
      </w:r>
    </w:p>
    <w:p>
      <w:pPr>
        <w:spacing w:before="0" w:after="0" w:line="240" w:lineRule="auto"/>
        <w:ind w:left="259" w:right="259"/>
        <w:shd w:fill="F5F6F8" w:val="clear"/>
      </w:pPr>
      <w:r>
        <w:rPr>
          <w:rFonts w:ascii="Courier New" w:hAnsi="Courier New"/>
          <w:b w:val="0"/>
          <w:i w:val="0"/>
          <w:color w:val="1F2937"/>
          <w:sz w:val="17"/>
        </w:rPr>
        <w:t>export GOTEK_WORKER_WORKSPACE='00000000-0000-4000-8000-000000000000'</w:t>
      </w:r>
    </w:p>
    <w:p>
      <w:pPr>
        <w:spacing w:before="0" w:after="0" w:line="240" w:lineRule="auto"/>
        <w:ind w:left="259" w:right="259"/>
        <w:shd w:fill="F5F6F8" w:val="clear"/>
      </w:pPr>
      <w:r>
        <w:rPr>
          <w:rFonts w:ascii="Courier New" w:hAnsi="Courier New"/>
          <w:b w:val="0"/>
          <w:i w:val="0"/>
          <w:color w:val="1F2937"/>
          <w:sz w:val="17"/>
        </w:rPr>
        <w:t>npm run worker:ai -- --once</w:t>
      </w:r>
    </w:p>
    <w:p>
      <w:pPr>
        <w:spacing w:before="0" w:after="0" w:line="240" w:lineRule="auto"/>
        <w:ind w:left="259" w:right="259"/>
        <w:shd w:fill="F5F6F8" w:val="clear"/>
      </w:pPr>
      <w:r>
        <w:rPr>
          <w:rFonts w:ascii="Courier New" w:hAnsi="Courier New"/>
          <w:b w:val="0"/>
          <w:i w:val="0"/>
          <w:color w:val="1F2937"/>
          <w:sz w:val="17"/>
        </w:rPr>
        <w:t xml:space="preserve"> </w:t>
      </w:r>
    </w:p>
    <w:p>
      <w:pPr>
        <w:spacing w:before="0" w:after="0" w:line="240" w:lineRule="auto"/>
        <w:ind w:left="259" w:right="259"/>
        <w:shd w:fill="F5F6F8" w:val="clear"/>
      </w:pPr>
      <w:r>
        <w:rPr>
          <w:rFonts w:ascii="Courier New" w:hAnsi="Courier New"/>
          <w:b w:val="0"/>
          <w:i w:val="0"/>
          <w:color w:val="1F2937"/>
          <w:sz w:val="17"/>
        </w:rPr>
        <w:t># Remove --once for the loop mode.</w:t>
      </w:r>
    </w:p>
    <w:p>
      <w:pPr>
        <w:spacing w:before="0" w:after="40" w:line="259" w:lineRule="auto"/>
      </w:pPr>
    </w:p>
    <w:p>
      <w:pPr>
        <w:spacing w:before="0" w:after="120" w:line="259" w:lineRule="auto"/>
      </w:pPr>
      <w:r>
        <w:rPr>
          <w:rFonts w:ascii="Arial" w:hAnsi="Arial"/>
          <w:b w:val="0"/>
          <w:i w:val="0"/>
          <w:color w:val="000000"/>
          <w:sz w:val="20"/>
        </w:rPr>
        <w:t>The worker validates workspace state, model grant, publication, quota, ownership version, dispatch fence and provider secret before committing an answer. A stale or unknown external outcome is not blindly resent.</w:t>
      </w:r>
    </w:p>
    <w:p>
      <w:pPr>
        <w:pStyle w:val="Heading2"/>
        <w:keepNext/>
        <w:spacing w:before="120" w:after="100" w:line="240" w:lineRule="auto"/>
      </w:pPr>
      <w:r>
        <w:rPr>
          <w:rFonts w:ascii="Arial" w:hAnsi="Arial"/>
          <w:b/>
          <w:i w:val="0"/>
          <w:color w:val="000000"/>
          <w:sz w:val="23"/>
        </w:rPr>
        <w:t>AI Discovery Mode</w:t>
      </w:r>
    </w:p>
    <w:p>
      <w:pPr>
        <w:spacing w:before="0" w:after="0" w:line="240" w:lineRule="auto"/>
        <w:ind w:left="259" w:right="259"/>
        <w:shd w:fill="F5F6F8" w:val="clear"/>
      </w:pPr>
      <w:r>
        <w:rPr>
          <w:rFonts w:ascii="Courier New" w:hAnsi="Courier New"/>
          <w:b w:val="0"/>
          <w:i w:val="0"/>
          <w:color w:val="1F2937"/>
          <w:sz w:val="17"/>
        </w:rPr>
        <w:t>set -a; source .env; set +a</w:t>
      </w:r>
    </w:p>
    <w:p>
      <w:pPr>
        <w:spacing w:before="0" w:after="0" w:line="240" w:lineRule="auto"/>
        <w:ind w:left="259" w:right="259"/>
        <w:shd w:fill="F5F6F8" w:val="clear"/>
      </w:pPr>
      <w:r>
        <w:rPr>
          <w:rFonts w:ascii="Courier New" w:hAnsi="Courier New"/>
          <w:b w:val="0"/>
          <w:i w:val="0"/>
          <w:color w:val="1F2937"/>
          <w:sz w:val="17"/>
        </w:rPr>
        <w:t>unset GOTEK_WORKER_WORKSPACE</w:t>
      </w:r>
    </w:p>
    <w:p>
      <w:pPr>
        <w:spacing w:before="0" w:after="0" w:line="240" w:lineRule="auto"/>
        <w:ind w:left="259" w:right="259"/>
        <w:shd w:fill="F5F6F8" w:val="clear"/>
      </w:pPr>
      <w:r>
        <w:rPr>
          <w:rFonts w:ascii="Courier New" w:hAnsi="Courier New"/>
          <w:b w:val="0"/>
          <w:i w:val="0"/>
          <w:color w:val="1F2937"/>
          <w:sz w:val="17"/>
        </w:rPr>
        <w:t>npm run worker:ai -- --all --once</w:t>
      </w:r>
    </w:p>
    <w:p>
      <w:pPr>
        <w:spacing w:before="0" w:after="40" w:line="259" w:lineRule="auto"/>
      </w:pPr>
    </w:p>
    <w:p>
      <w:pPr>
        <w:spacing w:before="0" w:after="120" w:line="259" w:lineRule="auto"/>
      </w:pPr>
      <w:r>
        <w:rPr>
          <w:rFonts w:ascii="Arial" w:hAnsi="Arial"/>
          <w:b w:val="0"/>
          <w:i w:val="0"/>
          <w:color w:val="000000"/>
          <w:sz w:val="20"/>
        </w:rPr>
        <w:t>Do not pass --all together with GOTEK_WORKER_WORKSPACE. Discovery is a trusted scheduler path, never a widget path.</w:t>
      </w:r>
    </w:p>
    <w:p>
      <w:pPr>
        <w:pStyle w:val="Heading2"/>
        <w:keepNext/>
        <w:spacing w:before="120" w:after="100" w:line="240" w:lineRule="auto"/>
      </w:pPr>
      <w:r>
        <w:rPr>
          <w:rFonts w:ascii="Arial" w:hAnsi="Arial"/>
          <w:b/>
          <w:i w:val="0"/>
          <w:color w:val="000000"/>
          <w:sz w:val="23"/>
        </w:rPr>
        <w:t>Embedding Worker</w:t>
      </w:r>
    </w:p>
    <w:p>
      <w:pPr>
        <w:spacing w:before="0" w:after="0" w:line="240" w:lineRule="auto"/>
        <w:ind w:left="259" w:right="259"/>
        <w:shd w:fill="F5F6F8" w:val="clear"/>
      </w:pPr>
      <w:r>
        <w:rPr>
          <w:rFonts w:ascii="Courier New" w:hAnsi="Courier New"/>
          <w:b w:val="0"/>
          <w:i w:val="0"/>
          <w:color w:val="1F2937"/>
          <w:sz w:val="17"/>
        </w:rPr>
        <w:t>set -a; source .env; set +a</w:t>
      </w:r>
    </w:p>
    <w:p>
      <w:pPr>
        <w:spacing w:before="0" w:after="0" w:line="240" w:lineRule="auto"/>
        <w:ind w:left="259" w:right="259"/>
        <w:shd w:fill="F5F6F8" w:val="clear"/>
      </w:pPr>
      <w:r>
        <w:rPr>
          <w:rFonts w:ascii="Courier New" w:hAnsi="Courier New"/>
          <w:b w:val="0"/>
          <w:i w:val="0"/>
          <w:color w:val="1F2937"/>
          <w:sz w:val="17"/>
        </w:rPr>
        <w:t>GOTEK_WORKER_WORKSPACE='00000000-0000-4000-8000-000000000000' \</w:t>
      </w:r>
    </w:p>
    <w:p>
      <w:pPr>
        <w:spacing w:before="0" w:after="0" w:line="240" w:lineRule="auto"/>
        <w:ind w:left="259" w:right="259"/>
        <w:shd w:fill="F5F6F8" w:val="clear"/>
      </w:pPr>
      <w:r>
        <w:rPr>
          <w:rFonts w:ascii="Courier New" w:hAnsi="Courier New"/>
          <w:b w:val="0"/>
          <w:i w:val="0"/>
          <w:color w:val="1F2937"/>
          <w:sz w:val="17"/>
        </w:rPr>
        <w:t>GOTEK_KNOWLEDGE_VERSION='00000000-0000-4000-8000-000000000001' \</w:t>
      </w:r>
    </w:p>
    <w:p>
      <w:pPr>
        <w:spacing w:before="0" w:after="0" w:line="240" w:lineRule="auto"/>
        <w:ind w:left="259" w:right="259"/>
        <w:shd w:fill="F5F6F8" w:val="clear"/>
      </w:pPr>
      <w:r>
        <w:rPr>
          <w:rFonts w:ascii="Courier New" w:hAnsi="Courier New"/>
          <w:b w:val="0"/>
          <w:i w:val="0"/>
          <w:color w:val="1F2937"/>
          <w:sz w:val="17"/>
        </w:rPr>
        <w:t>GOTEK_EMBEDDING_MODEL='00000000-0000-4000-8000-000000000002' \</w:t>
      </w:r>
    </w:p>
    <w:p>
      <w:pPr>
        <w:spacing w:before="0" w:after="0" w:line="240" w:lineRule="auto"/>
        <w:ind w:left="259" w:right="259"/>
        <w:shd w:fill="F5F6F8" w:val="clear"/>
      </w:pPr>
      <w:r>
        <w:rPr>
          <w:rFonts w:ascii="Courier New" w:hAnsi="Courier New"/>
          <w:b w:val="0"/>
          <w:i w:val="0"/>
          <w:color w:val="1F2937"/>
          <w:sz w:val="17"/>
        </w:rPr>
        <w:t>npm run worker:embedding</w:t>
      </w:r>
    </w:p>
    <w:p>
      <w:pPr>
        <w:spacing w:before="0" w:after="40" w:line="259" w:lineRule="auto"/>
      </w:pPr>
    </w:p>
    <w:p>
      <w:pPr>
        <w:spacing w:before="0" w:after="120" w:line="259" w:lineRule="auto"/>
      </w:pPr>
      <w:r>
        <w:rPr>
          <w:rFonts w:ascii="Arial" w:hAnsi="Arial"/>
          <w:b w:val="0"/>
          <w:i w:val="0"/>
          <w:color w:val="000000"/>
          <w:sz w:val="20"/>
        </w:rPr>
        <w:t>The selected version and model must belong to the intended tenant, remain current and have an active embedding grant. Embeddings are stored in knowledge_chunks as JSONB; no pgvector index is implemented.</w:t>
      </w:r>
    </w:p>
    <w:p>
      <w:pPr>
        <w:pStyle w:val="Heading2"/>
        <w:keepNext/>
        <w:spacing w:before="120" w:after="100" w:line="240" w:lineRule="auto"/>
      </w:pPr>
      <w:r>
        <w:rPr>
          <w:rFonts w:ascii="Arial" w:hAnsi="Arial"/>
          <w:b/>
          <w:i w:val="0"/>
          <w:color w:val="000000"/>
          <w:sz w:val="23"/>
        </w:rPr>
        <w:t>Web Refresh Worker</w:t>
      </w:r>
    </w:p>
    <w:p>
      <w:pPr>
        <w:spacing w:before="0" w:after="0" w:line="240" w:lineRule="auto"/>
        <w:ind w:left="259" w:right="259"/>
        <w:shd w:fill="F5F6F8" w:val="clear"/>
      </w:pPr>
      <w:r>
        <w:rPr>
          <w:rFonts w:ascii="Courier New" w:hAnsi="Courier New"/>
          <w:b w:val="0"/>
          <w:i w:val="0"/>
          <w:color w:val="1F2937"/>
          <w:sz w:val="17"/>
        </w:rPr>
        <w:t>set -a; source .env; set +e</w:t>
      </w:r>
    </w:p>
    <w:p>
      <w:pPr>
        <w:spacing w:before="0" w:after="0" w:line="240" w:lineRule="auto"/>
        <w:ind w:left="259" w:right="259"/>
        <w:shd w:fill="F5F6F8" w:val="clear"/>
      </w:pPr>
      <w:r>
        <w:rPr>
          <w:rFonts w:ascii="Courier New" w:hAnsi="Courier New"/>
          <w:b w:val="0"/>
          <w:i w:val="0"/>
          <w:color w:val="1F2937"/>
          <w:sz w:val="17"/>
        </w:rPr>
        <w:t>GOTEK_WORKER_WORKSPACE='00000000-0000-4000-8000-000000000000' \</w:t>
      </w:r>
    </w:p>
    <w:p>
      <w:pPr>
        <w:spacing w:before="0" w:after="0" w:line="240" w:lineRule="auto"/>
        <w:ind w:left="259" w:right="259"/>
        <w:shd w:fill="F5F6F8" w:val="clear"/>
      </w:pPr>
      <w:r>
        <w:rPr>
          <w:rFonts w:ascii="Courier New" w:hAnsi="Courier New"/>
          <w:b w:val="0"/>
          <w:i w:val="0"/>
          <w:color w:val="1F2937"/>
          <w:sz w:val="17"/>
        </w:rPr>
        <w:t>npm run worker:web -- --once</w:t>
      </w:r>
    </w:p>
    <w:p>
      <w:pPr>
        <w:spacing w:before="0" w:after="40" w:line="259" w:lineRule="auto"/>
      </w:pPr>
    </w:p>
    <w:p>
      <w:pPr>
        <w:spacing w:before="0" w:after="120" w:line="259" w:lineRule="auto"/>
      </w:pPr>
      <w:r>
        <w:rPr>
          <w:rFonts w:ascii="Arial" w:hAnsi="Arial"/>
          <w:b w:val="0"/>
          <w:i w:val="0"/>
          <w:color w:val="000000"/>
          <w:sz w:val="20"/>
        </w:rPr>
        <w:t>The web worker uses bounded static fetch and sitemap policy. It is not a JavaScript browser crawler and does not automatically publish a web generation.</w:t>
      </w:r>
    </w:p>
    <w:p>
      <w:r>
        <w:br w:type="page"/>
      </w:r>
    </w:p>
    <w:p>
      <w:pPr>
        <w:pStyle w:val="Heading1"/>
        <w:keepNext/>
        <w:spacing w:before="200" w:after="100" w:line="240" w:lineRule="auto"/>
      </w:pPr>
      <w:r>
        <w:rPr>
          <w:rFonts w:ascii="Arial" w:hAnsi="Arial"/>
          <w:b/>
          <w:i w:val="0"/>
          <w:color w:val="000000"/>
          <w:sz w:val="30"/>
        </w:rPr>
        <w:t>6 PostgreSQL Architecture And Connection Roles</w:t>
      </w:r>
    </w:p>
    <w:p>
      <w:pPr>
        <w:spacing w:before="0" w:after="120" w:line="259" w:lineRule="auto"/>
      </w:pPr>
      <w:r>
        <w:rPr>
          <w:rFonts w:ascii="Arial" w:hAnsi="Arial"/>
          <w:b w:val="0"/>
          <w:i w:val="0"/>
          <w:color w:val="000000"/>
          <w:sz w:val="20"/>
        </w:rPr>
        <w:t>The application uses PostgreSQL through the pg package and raw parameterized SQL. There is no ORM. Database structure is defined by db/migrations/*.sql; the application role should not have superuser or BYPASSRLS privileges.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  <w:cantSplit/>
        </w:trP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shd w:fill="0A1A4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Role or connection</w:t>
            </w:r>
          </w:p>
        </w:tc>
        <w:tc>
          <w:tcPr>
            <w:tcW w:type="dxa" w:w="3671"/>
            <w:tcMar>
              <w:top w:w="90" w:type="dxa"/>
              <w:start w:w="110" w:type="dxa"/>
              <w:bottom w:w="90" w:type="dxa"/>
              <w:end w:w="110" w:type="dxa"/>
            </w:tcMar>
            <w:shd w:fill="0A1A4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Purpose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shd w:fill="0A1A4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Where configured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shd w:fill="0A1A4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Do not do</w:t>
            </w:r>
          </w:p>
        </w:tc>
      </w:tr>
      <w:tr>
        <w:trPr>
          <w:cantSplit/>
        </w:trP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gotek_migrator</w:t>
            </w:r>
          </w:p>
        </w:tc>
        <w:tc>
          <w:tcPr>
            <w:tcW w:type="dxa" w:w="3671"/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Local schema bootstrap, migration and restore-drill administration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UNIX socket /tmp, port 55432 in scripts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Do not run the web application with this role</w:t>
            </w:r>
          </w:p>
        </w:tc>
      </w:tr>
      <w:tr>
        <w:trPr>
          <w:cantSplit/>
        </w:trP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shd w:fill="EAF3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gotek_app</w:t>
            </w:r>
          </w:p>
        </w:tc>
        <w:tc>
          <w:tcPr>
            <w:tcW w:type="dxa" w:w="3671"/>
            <w:tcMar>
              <w:top w:w="90" w:type="dxa"/>
              <w:start w:w="110" w:type="dxa"/>
              <w:bottom w:w="90" w:type="dxa"/>
              <w:end w:w="110" w:type="dxa"/>
            </w:tcMar>
            <w:shd w:fill="EAF3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Application runtime role created by setup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shd w:fill="EAF3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.local/runtime.json or DATABASE_URL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shd w:fill="EAF3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Do not grant SUPERUSER, BYPASSRLS, CREATEDB or CREATEROLE</w:t>
            </w:r>
          </w:p>
        </w:tc>
      </w:tr>
      <w:tr>
        <w:trPr>
          <w:cantSplit/>
        </w:trP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DATABASE_URL</w:t>
            </w:r>
          </w:p>
        </w:tc>
        <w:tc>
          <w:tcPr>
            <w:tcW w:type="dxa" w:w="3671"/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Optional runtime connection override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Process environment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Do not commit the URL or use an unverified shared database</w:t>
            </w:r>
          </w:p>
        </w:tc>
      </w:tr>
      <w:tr>
        <w:trPr>
          <w:cantSplit/>
        </w:trP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shd w:fill="EAF3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schema_migrations</w:t>
            </w:r>
          </w:p>
        </w:tc>
        <w:tc>
          <w:tcPr>
            <w:tcW w:type="dxa" w:w="3671"/>
            <w:tcMar>
              <w:top w:w="90" w:type="dxa"/>
              <w:start w:w="110" w:type="dxa"/>
              <w:bottom w:w="90" w:type="dxa"/>
              <w:end w:w="110" w:type="dxa"/>
            </w:tcMar>
            <w:shd w:fill="EAF3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Applied migration filename ledger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shd w:fill="EAF3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Created by scripts/setup-db.ts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shd w:fill="EAF3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Do not delete rows to force a migration to rerun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20" w:after="100" w:line="240" w:lineRule="auto"/>
      </w:pPr>
      <w:r>
        <w:rPr>
          <w:rFonts w:ascii="Arial" w:hAnsi="Arial"/>
          <w:b/>
          <w:i w:val="0"/>
          <w:color w:val="000000"/>
          <w:sz w:val="23"/>
        </w:rPr>
        <w:t>Local Cluster Parameters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shd w:fill="0057E1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Parameter</w:t>
            </w:r>
          </w:p>
        </w:tc>
        <w:tc>
          <w:tcPr>
            <w:tcW w:type="dxa" w:w="7632"/>
            <w:tcMar>
              <w:top w:w="90" w:type="dxa"/>
              <w:start w:w="110" w:type="dxa"/>
              <w:bottom w:w="90" w:type="dxa"/>
              <w:end w:w="110" w:type="dxa"/>
            </w:tcMar>
            <w:shd w:fill="0057E1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Current source value</w:t>
            </w:r>
          </w:p>
        </w:tc>
      </w:tr>
      <w:tr>
        <w:trPr>
          <w:cantSplit/>
        </w:trPr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Cluster data directory</w:t>
            </w:r>
          </w:p>
        </w:tc>
        <w:tc>
          <w:tcPr>
            <w:tcW w:type="dxa" w:w="7632"/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.local/postgres</w:t>
            </w:r>
          </w:p>
        </w:tc>
      </w:tr>
      <w:tr>
        <w:trPr>
          <w:cantSplit/>
        </w:trPr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shd w:fill="EAF3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PostgreSQL port</w:t>
            </w:r>
          </w:p>
        </w:tc>
        <w:tc>
          <w:tcPr>
            <w:tcW w:type="dxa" w:w="7632"/>
            <w:tcMar>
              <w:top w:w="90" w:type="dxa"/>
              <w:start w:w="110" w:type="dxa"/>
              <w:bottom w:w="90" w:type="dxa"/>
              <w:end w:w="110" w:type="dxa"/>
            </w:tcMar>
            <w:shd w:fill="EAF3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55432</w:t>
            </w:r>
          </w:p>
        </w:tc>
      </w:tr>
      <w:tr>
        <w:trPr>
          <w:cantSplit/>
        </w:trPr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Admin socket</w:t>
            </w:r>
          </w:p>
        </w:tc>
        <w:tc>
          <w:tcPr>
            <w:tcW w:type="dxa" w:w="7632"/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/tmp</w:t>
            </w:r>
          </w:p>
        </w:tc>
      </w:tr>
      <w:tr>
        <w:trPr>
          <w:cantSplit/>
        </w:trPr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shd w:fill="EAF3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Migration role</w:t>
            </w:r>
          </w:p>
        </w:tc>
        <w:tc>
          <w:tcPr>
            <w:tcW w:type="dxa" w:w="7632"/>
            <w:tcMar>
              <w:top w:w="90" w:type="dxa"/>
              <w:start w:w="110" w:type="dxa"/>
              <w:bottom w:w="90" w:type="dxa"/>
              <w:end w:w="110" w:type="dxa"/>
            </w:tcMar>
            <w:shd w:fill="EAF3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gotek_migrator</w:t>
            </w:r>
          </w:p>
        </w:tc>
      </w:tr>
      <w:tr>
        <w:trPr>
          <w:cantSplit/>
        </w:trPr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Application database</w:t>
            </w:r>
          </w:p>
        </w:tc>
        <w:tc>
          <w:tcPr>
            <w:tcW w:type="dxa" w:w="7632"/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gotek_chatbot</w:t>
            </w:r>
          </w:p>
        </w:tc>
      </w:tr>
      <w:tr>
        <w:trPr>
          <w:cantSplit/>
        </w:trPr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shd w:fill="EAF3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Runtime credential file</w:t>
            </w:r>
          </w:p>
        </w:tc>
        <w:tc>
          <w:tcPr>
            <w:tcW w:type="dxa" w:w="7632"/>
            <w:tcMar>
              <w:top w:w="90" w:type="dxa"/>
              <w:start w:w="110" w:type="dxa"/>
              <w:bottom w:w="90" w:type="dxa"/>
              <w:end w:w="110" w:type="dxa"/>
            </w:tcMar>
            <w:shd w:fill="EAF3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.local/runtime.json, mode 0600</w:t>
            </w:r>
          </w:p>
        </w:tc>
      </w:tr>
      <w:tr>
        <w:trPr>
          <w:cantSplit/>
        </w:trPr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App bind</w:t>
            </w:r>
          </w:p>
        </w:tc>
        <w:tc>
          <w:tcPr>
            <w:tcW w:type="dxa" w:w="7632"/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127.0.0.1:4317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20" w:after="100" w:line="240" w:lineRule="auto"/>
      </w:pPr>
      <w:r>
        <w:rPr>
          <w:rFonts w:ascii="Arial" w:hAnsi="Arial"/>
          <w:b/>
          <w:i w:val="0"/>
          <w:color w:val="000000"/>
          <w:sz w:val="23"/>
        </w:rPr>
        <w:t>Database Data Flow</w:t>
      </w:r>
    </w:p>
    <w:p>
      <w:pPr>
        <w:pStyle w:val="ListNumber"/>
        <w:spacing w:before="0" w:after="60" w:line="259" w:lineRule="auto"/>
        <w:ind w:left="403" w:hanging="259"/>
      </w:pPr>
      <w:r>
        <w:rPr>
          <w:rFonts w:ascii="Arial" w:hAnsi="Arial"/>
          <w:b w:val="0"/>
          <w:i w:val="0"/>
          <w:color w:val="000000"/>
          <w:sz w:val="20"/>
        </w:rPr>
        <w:t>setup-db.ts connects as gotek_migrator, creates gotek_app and the gotek_chatbot database when missing, then applies migrations in lexicographic filename order.</w:t>
      </w:r>
    </w:p>
    <w:p>
      <w:pPr>
        <w:pStyle w:val="ListNumber"/>
        <w:spacing w:before="0" w:after="60" w:line="259" w:lineRule="auto"/>
        <w:ind w:left="403" w:hanging="259"/>
      </w:pPr>
      <w:r>
        <w:rPr>
          <w:rFonts w:ascii="Arial" w:hAnsi="Arial"/>
          <w:b w:val="0"/>
          <w:i w:val="0"/>
          <w:color w:val="000000"/>
          <w:sz w:val="20"/>
        </w:rPr>
        <w:t>src/server/db.ts connects as the runtime app role using DATABASE_URL or the local runtime JSON.</w:t>
      </w:r>
    </w:p>
    <w:p>
      <w:pPr>
        <w:pStyle w:val="ListNumber"/>
        <w:spacing w:before="0" w:after="60" w:line="259" w:lineRule="auto"/>
        <w:ind w:left="403" w:hanging="259"/>
      </w:pPr>
      <w:r>
        <w:rPr>
          <w:rFonts w:ascii="Arial" w:hAnsi="Arial"/>
          <w:b w:val="0"/>
          <w:i w:val="0"/>
          <w:color w:val="000000"/>
          <w:sz w:val="20"/>
        </w:rPr>
        <w:t>Each request transaction sets app.workspace_id for tenant RLS; platform operations use app.platform and app.actor_id.</w:t>
      </w:r>
    </w:p>
    <w:p>
      <w:pPr>
        <w:pStyle w:val="ListNumber"/>
        <w:spacing w:before="0" w:after="60" w:line="259" w:lineRule="auto"/>
        <w:ind w:left="403" w:hanging="259"/>
      </w:pPr>
      <w:r>
        <w:rPr>
          <w:rFonts w:ascii="Arial" w:hAnsi="Arial"/>
          <w:b w:val="0"/>
          <w:i w:val="0"/>
          <w:color w:val="000000"/>
          <w:sz w:val="20"/>
        </w:rPr>
        <w:t>Workers use the same transaction-local scope and durable PostgreSQL jobs; there is no Redis, queue broker or separate object store in the inspected source.</w:t>
      </w:r>
    </w:p>
    <w:p>
      <w:pPr>
        <w:pStyle w:val="ListNumber"/>
        <w:spacing w:before="0" w:after="60" w:line="259" w:lineRule="auto"/>
        <w:ind w:left="403" w:hanging="259"/>
      </w:pPr>
      <w:r>
        <w:rPr>
          <w:rFonts w:ascii="Arial" w:hAnsi="Arial"/>
          <w:b w:val="0"/>
          <w:i w:val="0"/>
          <w:color w:val="000000"/>
          <w:sz w:val="20"/>
        </w:rPr>
        <w:t>Knowledge imports, including file bytes, are database-backed. Embeddings are JSONB with model and shape metadata, not pgvector.</w:t>
      </w:r>
    </w:p>
    <w:p>
      <w:r>
        <w:br w:type="page"/>
      </w:r>
    </w:p>
    <w:p>
      <w:pPr>
        <w:pStyle w:val="Heading1"/>
        <w:keepNext/>
        <w:spacing w:before="200" w:after="100" w:line="240" w:lineRule="auto"/>
      </w:pPr>
      <w:r>
        <w:rPr>
          <w:rFonts w:ascii="Arial" w:hAnsi="Arial"/>
          <w:b/>
          <w:i w:val="0"/>
          <w:color w:val="000000"/>
          <w:sz w:val="30"/>
        </w:rPr>
        <w:t>7 Database Bootstrap And Migration Workflow</w:t>
      </w:r>
    </w:p>
    <w:p>
      <w:pPr>
        <w:pStyle w:val="Heading2"/>
        <w:keepNext/>
        <w:spacing w:before="120" w:after="100" w:line="240" w:lineRule="auto"/>
      </w:pPr>
      <w:r>
        <w:rPr>
          <w:rFonts w:ascii="Arial" w:hAnsi="Arial"/>
          <w:b/>
          <w:i w:val="0"/>
          <w:color w:val="000000"/>
          <w:sz w:val="23"/>
        </w:rPr>
        <w:t>Prepare A Dedicated Local Cluster</w:t>
      </w:r>
    </w:p>
    <w:p>
      <w:pPr>
        <w:spacing w:before="0" w:after="0" w:line="240" w:lineRule="auto"/>
        <w:ind w:left="259" w:right="259"/>
        <w:shd w:fill="F5F6F8" w:val="clear"/>
      </w:pPr>
      <w:r>
        <w:rPr>
          <w:rFonts w:ascii="Courier New" w:hAnsi="Courier New"/>
          <w:b w:val="0"/>
          <w:i w:val="0"/>
          <w:color w:val="1F2937"/>
          <w:sz w:val="17"/>
        </w:rPr>
        <w:t>mkdir -p .local</w:t>
      </w:r>
    </w:p>
    <w:p>
      <w:pPr>
        <w:spacing w:before="0" w:after="0" w:line="240" w:lineRule="auto"/>
        <w:ind w:left="259" w:right="259"/>
        <w:shd w:fill="F5F6F8" w:val="clear"/>
      </w:pPr>
      <w:r>
        <w:rPr>
          <w:rFonts w:ascii="Courier New" w:hAnsi="Courier New"/>
          <w:b w:val="0"/>
          <w:i w:val="0"/>
          <w:color w:val="1F2937"/>
          <w:sz w:val="17"/>
        </w:rPr>
        <w:t>initdb -D .local/postgres -U gotek_migrator \</w:t>
      </w:r>
    </w:p>
    <w:p>
      <w:pPr>
        <w:spacing w:before="0" w:after="0" w:line="240" w:lineRule="auto"/>
        <w:ind w:left="259" w:right="259"/>
        <w:shd w:fill="F5F6F8" w:val="clear"/>
      </w:pPr>
      <w:r>
        <w:rPr>
          <w:rFonts w:ascii="Courier New" w:hAnsi="Courier New"/>
          <w:b w:val="0"/>
          <w:i w:val="0"/>
          <w:color w:val="1F2937"/>
          <w:sz w:val="17"/>
        </w:rPr>
        <w:t xml:space="preserve">  --auth-local=trust --auth-host=scram-sha-256</w:t>
      </w:r>
    </w:p>
    <w:p>
      <w:pPr>
        <w:spacing w:before="0" w:after="0" w:line="240" w:lineRule="auto"/>
        <w:ind w:left="259" w:right="259"/>
        <w:shd w:fill="F5F6F8" w:val="clear"/>
      </w:pPr>
      <w:r>
        <w:rPr>
          <w:rFonts w:ascii="Courier New" w:hAnsi="Courier New"/>
          <w:b w:val="0"/>
          <w:i w:val="0"/>
          <w:color w:val="1F2937"/>
          <w:sz w:val="17"/>
        </w:rPr>
        <w:t>pg_ctl -D .local/postgres -l .local/postgres.log \</w:t>
      </w:r>
    </w:p>
    <w:p>
      <w:pPr>
        <w:spacing w:before="0" w:after="0" w:line="240" w:lineRule="auto"/>
        <w:ind w:left="259" w:right="259"/>
        <w:shd w:fill="F5F6F8" w:val="clear"/>
      </w:pPr>
      <w:r>
        <w:rPr>
          <w:rFonts w:ascii="Courier New" w:hAnsi="Courier New"/>
          <w:b w:val="0"/>
          <w:i w:val="0"/>
          <w:color w:val="1F2937"/>
          <w:sz w:val="17"/>
        </w:rPr>
        <w:t xml:space="preserve">  -o "-p 55432 -k /tmp -h 127.0.0.1" start</w:t>
      </w:r>
    </w:p>
    <w:p>
      <w:pPr>
        <w:spacing w:before="0" w:after="0" w:line="240" w:lineRule="auto"/>
        <w:ind w:left="259" w:right="259"/>
        <w:shd w:fill="F5F6F8" w:val="clear"/>
      </w:pPr>
      <w:r>
        <w:rPr>
          <w:rFonts w:ascii="Courier New" w:hAnsi="Courier New"/>
          <w:b w:val="0"/>
          <w:i w:val="0"/>
          <w:color w:val="1F2937"/>
          <w:sz w:val="17"/>
        </w:rPr>
        <w:t>npm run db:setup</w:t>
      </w:r>
    </w:p>
    <w:p>
      <w:pPr>
        <w:spacing w:before="0" w:after="40" w:line="259" w:lineRule="auto"/>
      </w:pPr>
    </w:p>
    <w:p>
      <w:pPr>
        <w:spacing w:before="0" w:after="120" w:line="259" w:lineRule="auto"/>
      </w:pPr>
      <w:r>
        <w:rPr>
          <w:rFonts w:ascii="Arial" w:hAnsi="Arial"/>
          <w:b w:val="0"/>
          <w:i w:val="0"/>
          <w:color w:val="000000"/>
          <w:sz w:val="20"/>
        </w:rPr>
        <w:t>If the cluster already exists, run pg_ctl -D .local/postgres status first. Do not run initdb again on a cluster that contains data, and do not delete the cluster to resolve an unknown error.</w:t>
      </w:r>
    </w:p>
    <w:p>
      <w:pPr>
        <w:pStyle w:val="Heading2"/>
        <w:keepNext/>
        <w:spacing w:before="120" w:after="100" w:line="240" w:lineRule="auto"/>
      </w:pPr>
      <w:r>
        <w:rPr>
          <w:rFonts w:ascii="Arial" w:hAnsi="Arial"/>
          <w:b/>
          <w:i w:val="0"/>
          <w:color w:val="000000"/>
          <w:sz w:val="23"/>
        </w:rPr>
        <w:t>What db setup Does</w:t>
      </w:r>
    </w:p>
    <w:p>
      <w:pPr>
        <w:pStyle w:val="ListBullet"/>
        <w:spacing w:before="0" w:after="60" w:line="259" w:lineRule="auto"/>
        <w:ind w:left="331" w:hanging="187"/>
      </w:pPr>
      <w:r>
        <w:rPr>
          <w:rFonts w:ascii="Arial" w:hAnsi="Arial"/>
          <w:b w:val="0"/>
          <w:i w:val="0"/>
          <w:color w:val="000000"/>
          <w:sz w:val="20"/>
        </w:rPr>
        <w:t>Reads or creates .local/runtime.json and generates a random gotek_app password on a fresh local profile.</w:t>
      </w:r>
    </w:p>
    <w:p>
      <w:pPr>
        <w:pStyle w:val="ListBullet"/>
        <w:spacing w:before="0" w:after="60" w:line="259" w:lineRule="auto"/>
        <w:ind w:left="331" w:hanging="187"/>
      </w:pPr>
      <w:r>
        <w:rPr>
          <w:rFonts w:ascii="Arial" w:hAnsi="Arial"/>
          <w:b w:val="0"/>
          <w:i w:val="0"/>
          <w:color w:val="000000"/>
          <w:sz w:val="20"/>
        </w:rPr>
        <w:t>Connects as gotek_migrator through /tmp:55432 to create the application role and database.</w:t>
      </w:r>
    </w:p>
    <w:p>
      <w:pPr>
        <w:pStyle w:val="ListBullet"/>
        <w:spacing w:before="0" w:after="60" w:line="259" w:lineRule="auto"/>
        <w:ind w:left="331" w:hanging="187"/>
      </w:pPr>
      <w:r>
        <w:rPr>
          <w:rFonts w:ascii="Arial" w:hAnsi="Arial"/>
          <w:b w:val="0"/>
          <w:i w:val="0"/>
          <w:color w:val="000000"/>
          <w:sz w:val="20"/>
        </w:rPr>
        <w:t>Creates schema_migrations if needed.</w:t>
      </w:r>
    </w:p>
    <w:p>
      <w:pPr>
        <w:pStyle w:val="ListBullet"/>
        <w:spacing w:before="0" w:after="60" w:line="259" w:lineRule="auto"/>
        <w:ind w:left="331" w:hanging="187"/>
      </w:pPr>
      <w:r>
        <w:rPr>
          <w:rFonts w:ascii="Arial" w:hAnsi="Arial"/>
          <w:b w:val="0"/>
          <w:i w:val="0"/>
          <w:color w:val="000000"/>
          <w:sz w:val="20"/>
        </w:rPr>
        <w:t>Sorts all filenames in db/migrations and applies only names not present in schema_migrations.</w:t>
      </w:r>
    </w:p>
    <w:p>
      <w:pPr>
        <w:pStyle w:val="ListBullet"/>
        <w:spacing w:before="0" w:after="60" w:line="259" w:lineRule="auto"/>
        <w:ind w:left="331" w:hanging="187"/>
      </w:pPr>
      <w:r>
        <w:rPr>
          <w:rFonts w:ascii="Arial" w:hAnsi="Arial"/>
          <w:b w:val="0"/>
          <w:i w:val="0"/>
          <w:color w:val="000000"/>
          <w:sz w:val="20"/>
        </w:rPr>
        <w:t>Wraps each migration in BEGIN/COMMIT and rolls it back on failure.</w:t>
      </w:r>
    </w:p>
    <w:p>
      <w:pPr>
        <w:pStyle w:val="ListBullet"/>
        <w:spacing w:before="0" w:after="60" w:line="259" w:lineRule="auto"/>
        <w:ind w:left="331" w:hanging="187"/>
      </w:pPr>
      <w:r>
        <w:rPr>
          <w:rFonts w:ascii="Arial" w:hAnsi="Arial"/>
          <w:b w:val="0"/>
          <w:i w:val="0"/>
          <w:color w:val="000000"/>
          <w:sz w:val="20"/>
        </w:rPr>
        <w:t>Writes the local runtime credential file with mode 0600.</w:t>
      </w:r>
    </w:p>
    <w:p>
      <w:pPr>
        <w:pStyle w:val="Heading2"/>
        <w:keepNext/>
        <w:spacing w:before="120" w:after="100" w:line="240" w:lineRule="auto"/>
      </w:pPr>
      <w:r>
        <w:rPr>
          <w:rFonts w:ascii="Arial" w:hAnsi="Arial"/>
          <w:b/>
          <w:i w:val="0"/>
          <w:color w:val="000000"/>
          <w:sz w:val="23"/>
        </w:rPr>
        <w:t>Migration Rules For A New Developer</w:t>
      </w:r>
    </w:p>
    <w:p>
      <w:pPr>
        <w:pStyle w:val="ListBullet"/>
        <w:spacing w:before="0" w:after="60" w:line="259" w:lineRule="auto"/>
        <w:ind w:left="331" w:hanging="187"/>
      </w:pPr>
      <w:r>
        <w:rPr>
          <w:rFonts w:ascii="Arial" w:hAnsi="Arial"/>
          <w:b w:val="0"/>
          <w:i w:val="0"/>
          <w:color w:val="000000"/>
          <w:sz w:val="20"/>
        </w:rPr>
        <w:t>Read all later migrations after the table definition you plan to change; later files add columns, constraints, indexes, policies and reconciliation behavior.</w:t>
      </w:r>
    </w:p>
    <w:p>
      <w:pPr>
        <w:pStyle w:val="ListBullet"/>
        <w:spacing w:before="0" w:after="60" w:line="259" w:lineRule="auto"/>
        <w:ind w:left="331" w:hanging="187"/>
      </w:pPr>
      <w:r>
        <w:rPr>
          <w:rFonts w:ascii="Arial" w:hAnsi="Arial"/>
          <w:b w:val="0"/>
          <w:i w:val="0"/>
          <w:color w:val="000000"/>
          <w:sz w:val="20"/>
        </w:rPr>
        <w:t>Use a new ordered migration for schema changes. Do not rewrite an applied migration without explicit authorization.</w:t>
      </w:r>
    </w:p>
    <w:p>
      <w:pPr>
        <w:pStyle w:val="ListBullet"/>
        <w:spacing w:before="0" w:after="60" w:line="259" w:lineRule="auto"/>
        <w:ind w:left="331" w:hanging="187"/>
      </w:pPr>
      <w:r>
        <w:rPr>
          <w:rFonts w:ascii="Arial" w:hAnsi="Arial"/>
          <w:b w:val="0"/>
          <w:i w:val="0"/>
          <w:color w:val="000000"/>
          <w:sz w:val="20"/>
        </w:rPr>
        <w:t>There are two different 048 filenames. The full filename is the migration identity, not the numeric prefix alone.</w:t>
      </w:r>
    </w:p>
    <w:p>
      <w:pPr>
        <w:pStyle w:val="ListBullet"/>
        <w:spacing w:before="0" w:after="60" w:line="259" w:lineRule="auto"/>
        <w:ind w:left="331" w:hanging="187"/>
      </w:pPr>
      <w:r>
        <w:rPr>
          <w:rFonts w:ascii="Arial" w:hAnsi="Arial"/>
          <w:b w:val="0"/>
          <w:i w:val="0"/>
          <w:color w:val="000000"/>
          <w:sz w:val="20"/>
        </w:rPr>
        <w:t>The latest inspected migration is 056_model_grant_expiry.sql. Deployed migration state outside local/test is UNKNOWN / NEEDS VERIFICATION.</w:t>
      </w:r>
    </w:p>
    <w:p>
      <w:pPr>
        <w:pStyle w:val="ListBullet"/>
        <w:spacing w:before="0" w:after="60" w:line="259" w:lineRule="auto"/>
        <w:ind w:left="331" w:hanging="187"/>
      </w:pPr>
      <w:r>
        <w:rPr>
          <w:rFonts w:ascii="Arial" w:hAnsi="Arial"/>
          <w:b w:val="0"/>
          <w:i w:val="0"/>
          <w:color w:val="000000"/>
          <w:sz w:val="20"/>
        </w:rPr>
        <w:t>There is no general demo seed script or automatic Platform Admin bootstrap. Tests create fixtures; local users should be created through signup or explicit administration.</w:t>
      </w:r>
    </w:p>
    <w:p>
      <w:pPr>
        <w:pStyle w:val="Heading2"/>
        <w:keepNext/>
        <w:spacing w:before="120" w:after="100" w:line="240" w:lineRule="auto"/>
      </w:pPr>
      <w:r>
        <w:rPr>
          <w:rFonts w:ascii="Arial" w:hAnsi="Arial"/>
          <w:b/>
          <w:i w:val="0"/>
          <w:color w:val="000000"/>
          <w:sz w:val="23"/>
        </w:rPr>
        <w:t>Migrations That May Affect Existing Data</w:t>
      </w:r>
    </w:p>
    <w:p>
      <w:pPr>
        <w:spacing w:before="0" w:after="120" w:line="259" w:lineRule="auto"/>
      </w:pPr>
      <w:r>
        <w:rPr>
          <w:rFonts w:ascii="Arial" w:hAnsi="Arial"/>
          <w:b w:val="0"/>
          <w:i w:val="0"/>
          <w:color w:val="000000"/>
          <w:sz w:val="20"/>
        </w:rPr>
        <w:t>Historical ALTER, reconciliation, publication, contact and quota migrations can change existing rows or constraints. Before applying a new migration to any non-test dataset, obtain an approved backup, verify the restore path and record the change in the handoff checkpoint.</w:t>
      </w:r>
    </w:p>
    <w:p>
      <w:r>
        <w:br w:type="page"/>
      </w:r>
    </w:p>
    <w:p>
      <w:pPr>
        <w:pStyle w:val="Heading1"/>
        <w:keepNext/>
        <w:spacing w:before="200" w:after="100" w:line="240" w:lineRule="auto"/>
      </w:pPr>
      <w:r>
        <w:rPr>
          <w:rFonts w:ascii="Arial" w:hAnsi="Arial"/>
          <w:b/>
          <w:i w:val="0"/>
          <w:color w:val="000000"/>
          <w:sz w:val="30"/>
        </w:rPr>
        <w:t>8 Tenant Scope RLS And Data Invariants</w:t>
      </w:r>
    </w:p>
    <w:p>
      <w:pPr>
        <w:pStyle w:val="Heading2"/>
        <w:keepNext/>
        <w:spacing w:before="120" w:after="100" w:line="240" w:lineRule="auto"/>
      </w:pPr>
      <w:r>
        <w:rPr>
          <w:rFonts w:ascii="Arial" w:hAnsi="Arial"/>
          <w:b/>
          <w:i w:val="0"/>
          <w:color w:val="000000"/>
          <w:sz w:val="23"/>
        </w:rPr>
        <w:t>Tenant And Platform Boundaries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shd w:fill="0A1A4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Boundary</w:t>
            </w:r>
          </w:p>
        </w:tc>
        <w:tc>
          <w:tcPr>
            <w:tcW w:type="dxa" w:w="4968"/>
            <w:tcMar>
              <w:top w:w="90" w:type="dxa"/>
              <w:start w:w="110" w:type="dxa"/>
              <w:bottom w:w="90" w:type="dxa"/>
              <w:end w:w="110" w:type="dxa"/>
            </w:tcMar>
            <w:shd w:fill="0A1A4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Current rule</w:t>
            </w:r>
          </w:p>
        </w:tc>
        <w:tc>
          <w:tcPr>
            <w:tcW w:type="dxa" w:w="3528"/>
            <w:tcMar>
              <w:top w:w="90" w:type="dxa"/>
              <w:start w:w="110" w:type="dxa"/>
              <w:bottom w:w="90" w:type="dxa"/>
              <w:end w:w="110" w:type="dxa"/>
            </w:tcMar>
            <w:shd w:fill="0A1A4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Verification caution</w:t>
            </w:r>
          </w:p>
        </w:tc>
      </w:tr>
      <w:tr>
        <w:trPr>
          <w:cantSplit/>
        </w:trP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Workspace tenant</w:t>
            </w:r>
          </w:p>
        </w:tc>
        <w:tc>
          <w:tcPr>
            <w:tcW w:type="dxa" w:w="4968"/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Derive workspace from authenticated membership or validated widget credential. Never trust a client workspace_id as authorization.</w:t>
            </w:r>
          </w:p>
        </w:tc>
        <w:tc>
          <w:tcPr>
            <w:tcW w:type="dxa" w:w="3528"/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A passing route test is not a full browser or staging acceptance.</w:t>
            </w:r>
          </w:p>
        </w:tc>
      </w:tr>
      <w:tr>
        <w:trPr>
          <w:cantSplit/>
        </w:trP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shd w:fill="EAF3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RLS context</w:t>
            </w:r>
          </w:p>
        </w:tc>
        <w:tc>
          <w:tcPr>
            <w:tcW w:type="dxa" w:w="4968"/>
            <w:tcMar>
              <w:top w:w="90" w:type="dxa"/>
              <w:start w:w="110" w:type="dxa"/>
              <w:bottom w:w="90" w:type="dxa"/>
              <w:end w:w="110" w:type="dxa"/>
            </w:tcMar>
            <w:shd w:fill="EAF3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Set transaction-local app.workspace_id before tenant queries. Force RLS applies to domain tables.</w:t>
            </w:r>
          </w:p>
        </w:tc>
        <w:tc>
          <w:tcPr>
            <w:tcW w:type="dxa" w:w="3528"/>
            <w:tcMar>
              <w:top w:w="90" w:type="dxa"/>
              <w:start w:w="110" w:type="dxa"/>
              <w:bottom w:w="90" w:type="dxa"/>
              <w:end w:w="110" w:type="dxa"/>
            </w:tcMar>
            <w:shd w:fill="EAF3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Identity tables deliberately form a trusted non-RLS boundary.</w:t>
            </w:r>
          </w:p>
        </w:tc>
      </w:tr>
      <w:tr>
        <w:trPr>
          <w:cantSplit/>
        </w:trP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Platform admin</w:t>
            </w:r>
          </w:p>
        </w:tc>
        <w:tc>
          <w:tcPr>
            <w:tcW w:type="dxa" w:w="4968"/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Use active platform_admins membership plus app.platform and app.actor_id.</w:t>
            </w:r>
          </w:p>
        </w:tc>
        <w:tc>
          <w:tcPr>
            <w:tcW w:type="dxa" w:w="3528"/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Platform Admin does not automatically gain private tenant chat access.</w:t>
            </w:r>
          </w:p>
        </w:tc>
      </w:tr>
      <w:tr>
        <w:trPr>
          <w:cantSplit/>
        </w:trP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shd w:fill="EAF3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Support</w:t>
            </w:r>
          </w:p>
        </w:tc>
        <w:tc>
          <w:tcPr>
            <w:tcW w:type="dxa" w:w="4968"/>
            <w:tcMar>
              <w:top w:w="90" w:type="dxa"/>
              <w:start w:w="110" w:type="dxa"/>
              <w:bottom w:w="90" w:type="dxa"/>
              <w:end w:w="110" w:type="dxa"/>
            </w:tcMar>
            <w:shd w:fill="EAF3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Use scoped, expiring and audited support grants.</w:t>
            </w:r>
          </w:p>
        </w:tc>
        <w:tc>
          <w:tcPr>
            <w:tcW w:type="dxa" w:w="3528"/>
            <w:tcMar>
              <w:top w:w="90" w:type="dxa"/>
              <w:start w:w="110" w:type="dxa"/>
              <w:bottom w:w="90" w:type="dxa"/>
              <w:end w:w="110" w:type="dxa"/>
            </w:tcMar>
            <w:shd w:fill="EAF3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Never replace a grant with a blanket admin bypass.</w:t>
            </w:r>
          </w:p>
        </w:tc>
      </w:tr>
      <w:tr>
        <w:trPr>
          <w:cantSplit/>
        </w:trP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Widget visitor</w:t>
            </w:r>
          </w:p>
        </w:tc>
        <w:tc>
          <w:tcPr>
            <w:tcW w:type="dxa" w:w="4968"/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Public key identifies a channel; visitor bearer token identifies the visitor session.</w:t>
            </w:r>
          </w:p>
        </w:tc>
        <w:tc>
          <w:tcPr>
            <w:tcW w:type="dxa" w:w="3528"/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Provider secrets, internal notes and private knowledge never belong in widget responses.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20" w:after="100" w:line="240" w:lineRule="auto"/>
      </w:pPr>
      <w:r>
        <w:rPr>
          <w:rFonts w:ascii="Arial" w:hAnsi="Arial"/>
          <w:b/>
          <w:i w:val="0"/>
          <w:color w:val="000000"/>
          <w:sz w:val="23"/>
        </w:rPr>
        <w:t>Important Data Invariants</w:t>
      </w:r>
    </w:p>
    <w:p>
      <w:pPr>
        <w:pStyle w:val="ListBullet"/>
        <w:spacing w:before="0" w:after="60" w:line="259" w:lineRule="auto"/>
        <w:ind w:left="331" w:hanging="187"/>
      </w:pPr>
      <w:r>
        <w:rPr>
          <w:rFonts w:ascii="Arial" w:hAnsi="Arial"/>
          <w:b w:val="0"/>
          <w:i w:val="0"/>
          <w:color w:val="000000"/>
          <w:sz w:val="20"/>
        </w:rPr>
        <w:t>Active membership roles are Owner, Admin and Agent. The last active Owner is protected transactionally.</w:t>
      </w:r>
    </w:p>
    <w:p>
      <w:pPr>
        <w:pStyle w:val="ListBullet"/>
        <w:spacing w:before="0" w:after="60" w:line="259" w:lineRule="auto"/>
        <w:ind w:left="331" w:hanging="187"/>
      </w:pPr>
      <w:r>
        <w:rPr>
          <w:rFonts w:ascii="Arial" w:hAnsi="Arial"/>
          <w:b w:val="0"/>
          <w:i w:val="0"/>
          <w:color w:val="000000"/>
          <w:sz w:val="20"/>
        </w:rPr>
        <w:t>Sessions and challenges store token hashes. Reset challenges are single-use and reset invalidates sessions.</w:t>
      </w:r>
    </w:p>
    <w:p>
      <w:pPr>
        <w:pStyle w:val="ListBullet"/>
        <w:spacing w:before="0" w:after="60" w:line="259" w:lineRule="auto"/>
        <w:ind w:left="331" w:hanging="187"/>
      </w:pPr>
      <w:r>
        <w:rPr>
          <w:rFonts w:ascii="Arial" w:hAnsi="Arial"/>
          <w:b w:val="0"/>
          <w:i w:val="0"/>
          <w:color w:val="000000"/>
          <w:sz w:val="20"/>
        </w:rPr>
        <w:t>Messages use tenant/conversation scope, sequence constraints and client ID idempotency. Internal notes are distinct from public messages.</w:t>
      </w:r>
    </w:p>
    <w:p>
      <w:pPr>
        <w:pStyle w:val="ListBullet"/>
        <w:spacing w:before="0" w:after="60" w:line="259" w:lineRule="auto"/>
        <w:ind w:left="331" w:hanging="187"/>
      </w:pPr>
      <w:r>
        <w:rPr>
          <w:rFonts w:ascii="Arial" w:hAnsi="Arial"/>
          <w:b w:val="0"/>
          <w:i w:val="0"/>
          <w:color w:val="000000"/>
          <w:sz w:val="20"/>
        </w:rPr>
        <w:t>Knowledge drafts are processed to READY and explicitly published. Visitor retrieval is PUBLIC-only and current-source checked.</w:t>
      </w:r>
    </w:p>
    <w:p>
      <w:pPr>
        <w:pStyle w:val="ListBullet"/>
        <w:spacing w:before="0" w:after="60" w:line="259" w:lineRule="auto"/>
        <w:ind w:left="331" w:hanging="187"/>
      </w:pPr>
      <w:r>
        <w:rPr>
          <w:rFonts w:ascii="Arial" w:hAnsi="Arial"/>
          <w:b w:val="0"/>
          <w:i w:val="0"/>
          <w:color w:val="000000"/>
          <w:sz w:val="20"/>
        </w:rPr>
        <w:t>Model grants can expire. Provider and model state, capability and workspace state are checked before model use.</w:t>
      </w:r>
    </w:p>
    <w:p>
      <w:pPr>
        <w:pStyle w:val="ListBullet"/>
        <w:spacing w:before="0" w:after="60" w:line="259" w:lineRule="auto"/>
        <w:ind w:left="331" w:hanging="187"/>
      </w:pPr>
      <w:r>
        <w:rPr>
          <w:rFonts w:ascii="Arial" w:hAnsi="Arial"/>
          <w:b w:val="0"/>
          <w:i w:val="0"/>
          <w:color w:val="000000"/>
          <w:sz w:val="20"/>
        </w:rPr>
        <w:t>AI dispatch, quota reservation, unknown outcomes and ownership version fences prevent blind duplicate provider calls or stale replies.</w:t>
      </w:r>
    </w:p>
    <w:p>
      <w:pPr>
        <w:pStyle w:val="ListBullet"/>
        <w:spacing w:before="0" w:after="60" w:line="259" w:lineRule="auto"/>
        <w:ind w:left="331" w:hanging="187"/>
      </w:pPr>
      <w:r>
        <w:rPr>
          <w:rFonts w:ascii="Arial" w:hAnsi="Arial"/>
          <w:b w:val="0"/>
          <w:i w:val="0"/>
          <w:color w:val="000000"/>
          <w:sz w:val="20"/>
        </w:rPr>
        <w:t>Audit records are append-oriented. Do not repair usage, queue or dispatch state with ad hoc deletes.</w:t>
      </w:r>
    </w:p>
    <w:p>
      <w:pPr>
        <w:pStyle w:val="Heading2"/>
        <w:keepNext/>
        <w:spacing w:before="120" w:after="100" w:line="240" w:lineRule="auto"/>
      </w:pPr>
      <w:r>
        <w:rPr>
          <w:rFonts w:ascii="Arial" w:hAnsi="Arial"/>
          <w:b/>
          <w:i w:val="0"/>
          <w:color w:val="000000"/>
          <w:sz w:val="23"/>
        </w:rPr>
        <w:t>Database Changes That Require A Checkpoint</w:t>
      </w:r>
    </w:p>
    <w:p>
      <w:pPr>
        <w:pStyle w:val="ListBullet"/>
        <w:spacing w:before="0" w:after="60" w:line="259" w:lineRule="auto"/>
        <w:ind w:left="331" w:hanging="187"/>
      </w:pPr>
      <w:r>
        <w:rPr>
          <w:rFonts w:ascii="Arial" w:hAnsi="Arial"/>
          <w:b w:val="0"/>
          <w:i w:val="0"/>
          <w:color w:val="000000"/>
          <w:sz w:val="20"/>
        </w:rPr>
        <w:t>New migration or policy change.</w:t>
      </w:r>
    </w:p>
    <w:p>
      <w:pPr>
        <w:pStyle w:val="ListBullet"/>
        <w:spacing w:before="0" w:after="60" w:line="259" w:lineRule="auto"/>
        <w:ind w:left="331" w:hanging="187"/>
      </w:pPr>
      <w:r>
        <w:rPr>
          <w:rFonts w:ascii="Arial" w:hAnsi="Arial"/>
          <w:b w:val="0"/>
          <w:i w:val="0"/>
          <w:color w:val="000000"/>
          <w:sz w:val="20"/>
        </w:rPr>
        <w:t>Change to tenant predicates, app.workspace_id, app.platform or app.actor_id.</w:t>
      </w:r>
    </w:p>
    <w:p>
      <w:pPr>
        <w:pStyle w:val="ListBullet"/>
        <w:spacing w:before="0" w:after="60" w:line="259" w:lineRule="auto"/>
        <w:ind w:left="331" w:hanging="187"/>
      </w:pPr>
      <w:r>
        <w:rPr>
          <w:rFonts w:ascii="Arial" w:hAnsi="Arial"/>
          <w:b w:val="0"/>
          <w:i w:val="0"/>
          <w:color w:val="000000"/>
          <w:sz w:val="20"/>
        </w:rPr>
        <w:t>Change to provider secret resolution, quota reservation or dispatch unknown state.</w:t>
      </w:r>
    </w:p>
    <w:p>
      <w:pPr>
        <w:pStyle w:val="ListBullet"/>
        <w:spacing w:before="0" w:after="60" w:line="259" w:lineRule="auto"/>
        <w:ind w:left="331" w:hanging="187"/>
      </w:pPr>
      <w:r>
        <w:rPr>
          <w:rFonts w:ascii="Arial" w:hAnsi="Arial"/>
          <w:b w:val="0"/>
          <w:i w:val="0"/>
          <w:color w:val="000000"/>
          <w:sz w:val="20"/>
        </w:rPr>
        <w:t>Change to retention, workspace closure or destructive deletion. H32.05 requires an owner decision before purge implementation.</w:t>
      </w:r>
    </w:p>
    <w:p>
      <w:r>
        <w:br w:type="page"/>
      </w:r>
    </w:p>
    <w:p>
      <w:pPr>
        <w:pStyle w:val="Heading1"/>
        <w:keepNext/>
        <w:spacing w:before="200" w:after="100" w:line="240" w:lineRule="auto"/>
      </w:pPr>
      <w:r>
        <w:rPr>
          <w:rFonts w:ascii="Arial" w:hAnsi="Arial"/>
          <w:b/>
          <w:i w:val="0"/>
          <w:color w:val="000000"/>
          <w:sz w:val="30"/>
        </w:rPr>
        <w:t>9 Schema Map And Migration Index</w:t>
      </w:r>
    </w:p>
    <w:p>
      <w:pPr>
        <w:spacing w:before="0" w:after="120" w:line="259" w:lineRule="auto"/>
      </w:pPr>
      <w:r>
        <w:rPr>
          <w:rFonts w:ascii="Arial" w:hAnsi="Arial"/>
          <w:b w:val="0"/>
          <w:i w:val="0"/>
          <w:color w:val="000000"/>
          <w:sz w:val="20"/>
        </w:rPr>
        <w:t>The following table maps the initial definition of important tables. Later migrations may add columns, constraints, indexes or RLS policies. Always inspect the entire migration sequence before changing a table.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shd w:fill="0057E1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Domain</w:t>
            </w:r>
          </w:p>
        </w:tc>
        <w:tc>
          <w:tcPr>
            <w:tcW w:type="dxa" w:w="6048"/>
            <w:tcMar>
              <w:top w:w="90" w:type="dxa"/>
              <w:start w:w="110" w:type="dxa"/>
              <w:bottom w:w="90" w:type="dxa"/>
              <w:end w:w="110" w:type="dxa"/>
            </w:tcMar>
            <w:shd w:fill="0057E1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Tables</w:t>
            </w:r>
          </w:p>
        </w:tc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shd w:fill="0057E1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Initial migration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Identity and tenant</w:t>
            </w:r>
          </w:p>
        </w:tc>
        <w:tc>
          <w:tcPr>
            <w:tcW w:type="dxa" w:w="6048"/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users; workspaces; memberships; sessions; challenges; local_delivery; invitations; audit_events</w:t>
            </w:r>
          </w:p>
        </w:tc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001_identity.sql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shd w:fill="EAF3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Quota and jobs</w:t>
            </w:r>
          </w:p>
        </w:tc>
        <w:tc>
          <w:tcPr>
            <w:tcW w:type="dxa" w:w="6048"/>
            <w:tcMar>
              <w:top w:w="90" w:type="dxa"/>
              <w:start w:w="110" w:type="dxa"/>
              <w:bottom w:w="90" w:type="dxa"/>
              <w:end w:w="110" w:type="dxa"/>
            </w:tcMar>
            <w:shd w:fill="EAF3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quota_budgets; usage_operations; jobs</w:t>
            </w:r>
          </w:p>
        </w:tc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shd w:fill="EAF3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002_quota.sql; 004_jobs.sql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Platform AI registry</w:t>
            </w:r>
          </w:p>
        </w:tc>
        <w:tc>
          <w:tcPr>
            <w:tcW w:type="dxa" w:w="6048"/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platform_admins; providers; models; model_grants; platform_audit</w:t>
            </w:r>
          </w:p>
        </w:tc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005_platform.sql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shd w:fill="EAF3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Support and channels</w:t>
            </w:r>
          </w:p>
        </w:tc>
        <w:tc>
          <w:tcPr>
            <w:tcW w:type="dxa" w:w="6048"/>
            <w:tcMar>
              <w:top w:w="90" w:type="dxa"/>
              <w:start w:w="110" w:type="dxa"/>
              <w:bottom w:w="90" w:type="dxa"/>
              <w:end w:w="110" w:type="dxa"/>
            </w:tcMar>
            <w:shd w:fill="EAF3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support_grants; channels; channel_members</w:t>
            </w:r>
          </w:p>
        </w:tc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shd w:fill="EAF3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006_support.sql; 007_channels.sql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Chat and visitors</w:t>
            </w:r>
          </w:p>
        </w:tc>
        <w:tc>
          <w:tcPr>
            <w:tcW w:type="dxa" w:w="6048"/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visitors; conversations; messages</w:t>
            </w:r>
          </w:p>
        </w:tc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008_chat.sql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shd w:fill="EAF3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AI rules and sources</w:t>
            </w:r>
          </w:p>
        </w:tc>
        <w:tc>
          <w:tcPr>
            <w:tcW w:type="dxa" w:w="6048"/>
            <w:tcMar>
              <w:top w:w="90" w:type="dxa"/>
              <w:start w:w="110" w:type="dxa"/>
              <w:bottom w:w="90" w:type="dxa"/>
              <w:end w:w="110" w:type="dxa"/>
            </w:tcMar>
            <w:shd w:fill="EAF3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ai_rules; web_sources</w:t>
            </w:r>
          </w:p>
        </w:tc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shd w:fill="EAF3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015_ai_rules.sql; 017_web_sources.sql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Knowledge lifecycle</w:t>
            </w:r>
          </w:p>
        </w:tc>
        <w:tc>
          <w:tcPr>
            <w:tcW w:type="dxa" w:w="6048"/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knowledge_items; knowledge_versions; knowledge_mutations; knowledge_categories</w:t>
            </w:r>
          </w:p>
        </w:tc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019_knowledge.sql; 020_knowledge_categories.sql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shd w:fill="EAF3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Collection and citations</w:t>
            </w:r>
          </w:p>
        </w:tc>
        <w:tc>
          <w:tcPr>
            <w:tcW w:type="dxa" w:w="6048"/>
            <w:tcMar>
              <w:top w:w="90" w:type="dxa"/>
              <w:start w:w="110" w:type="dxa"/>
              <w:bottom w:w="90" w:type="dxa"/>
              <w:end w:w="110" w:type="dxa"/>
            </w:tcMar>
            <w:shd w:fill="EAF3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data_collection_configs; data_collection_completions; data_collection_outbox; data_collection_mutations; active_citations; active_citation_sources; active_citation_permissions</w:t>
            </w:r>
          </w:p>
        </w:tc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shd w:fill="EAF3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022_data_collection.sql; 023_active_citations.sql; 024_citation_schema_reconciliation.sql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Onboarding and platform agent</w:t>
            </w:r>
          </w:p>
        </w:tc>
        <w:tc>
          <w:tcPr>
            <w:tcW w:type="dxa" w:w="6048"/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onboarding_sources; platform_agent_sessions; platform_agent_messages; platform_agent_requests</w:t>
            </w:r>
          </w:p>
        </w:tc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025_onboarding.sql; 026_platform_ai_agent.sql; 037_platform_agent_requests.sql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shd w:fill="EAF3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Usage and retrieval</w:t>
            </w:r>
          </w:p>
        </w:tc>
        <w:tc>
          <w:tcPr>
            <w:tcW w:type="dxa" w:w="6048"/>
            <w:tcMar>
              <w:top w:w="90" w:type="dxa"/>
              <w:start w:w="110" w:type="dxa"/>
              <w:bottom w:w="90" w:type="dxa"/>
              <w:end w:w="110" w:type="dxa"/>
            </w:tcMar>
            <w:shd w:fill="EAF3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ai_usage_ledger; knowledge_chunks</w:t>
            </w:r>
          </w:p>
        </w:tc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shd w:fill="EAF3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028_ai_usage_ledger.sql; 030_knowledge_chunks.sql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Knowledge imports</w:t>
            </w:r>
          </w:p>
        </w:tc>
        <w:tc>
          <w:tcPr>
            <w:tcW w:type="dxa" w:w="6048"/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knowledge_imports; knowledge_import_files</w:t>
            </w:r>
          </w:p>
        </w:tc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035_knowledge_imports.sql; 036_knowledge_import_files.sql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shd w:fill="EAF3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Web snapshots and generations</w:t>
            </w:r>
          </w:p>
        </w:tc>
        <w:tc>
          <w:tcPr>
            <w:tcW w:type="dxa" w:w="6048"/>
            <w:tcMar>
              <w:top w:w="90" w:type="dxa"/>
              <w:start w:w="110" w:type="dxa"/>
              <w:bottom w:w="90" w:type="dxa"/>
              <w:end w:w="110" w:type="dxa"/>
            </w:tcMar>
            <w:shd w:fill="EAF3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web_source_snapshots; web_snapshot_knowledge; web_source_document_groups; web_source_generations; web_source_generation_parts</w:t>
            </w:r>
          </w:p>
        </w:tc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shd w:fill="EAF3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039_web_source_snapshots.sql; 040_web_snapshot_knowledge.sql; 041_web_source_generations.sql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Contacts</w:t>
            </w:r>
          </w:p>
        </w:tc>
        <w:tc>
          <w:tcPr>
            <w:tcW w:type="dxa" w:w="6048"/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contacts; contact_merge_history; contact_tags; contact_tag_links</w:t>
            </w:r>
          </w:p>
        </w:tc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042_contacts.sql; 046_contact_merge_history.sql; 047_contact_tags.sql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shd w:fill="EAF3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AI dispatch and schedules</w:t>
            </w:r>
          </w:p>
        </w:tc>
        <w:tc>
          <w:tcPr>
            <w:tcW w:type="dxa" w:w="6048"/>
            <w:tcMar>
              <w:top w:w="90" w:type="dxa"/>
              <w:start w:w="110" w:type="dxa"/>
              <w:bottom w:w="90" w:type="dxa"/>
              <w:end w:w="110" w:type="dxa"/>
            </w:tcMar>
            <w:shd w:fill="EAF3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ai_reply_dispatches; web_source_schedules and related indexes</w:t>
            </w:r>
          </w:p>
        </w:tc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shd w:fill="EAF3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052_ai_reply_dispatch_fence.sql; 054_web_source_schedule.sql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20" w:after="100" w:line="240" w:lineRule="auto"/>
      </w:pPr>
      <w:r>
        <w:rPr>
          <w:rFonts w:ascii="Arial" w:hAnsi="Arial"/>
          <w:b/>
          <w:i w:val="0"/>
          <w:color w:val="000000"/>
          <w:sz w:val="23"/>
        </w:rPr>
        <w:t>Full Migration Filename Index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5184"/>
            <w:tcMar>
              <w:top w:w="90" w:type="dxa"/>
              <w:start w:w="110" w:type="dxa"/>
              <w:bottom w:w="90" w:type="dxa"/>
              <w:end w:w="110" w:type="dxa"/>
            </w:tcMar>
            <w:shd w:fill="0A1A4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Migration filename</w:t>
            </w:r>
          </w:p>
        </w:tc>
        <w:tc>
          <w:tcPr>
            <w:tcW w:type="dxa" w:w="5184"/>
            <w:tcMar>
              <w:top w:w="90" w:type="dxa"/>
              <w:start w:w="110" w:type="dxa"/>
              <w:bottom w:w="90" w:type="dxa"/>
              <w:end w:w="110" w:type="dxa"/>
            </w:tcMar>
            <w:shd w:fill="0A1A4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Migration filename</w:t>
            </w:r>
          </w:p>
        </w:tc>
      </w:tr>
      <w:tr>
        <w:trPr>
          <w:cantSplit/>
        </w:trPr>
        <w:tc>
          <w:tcPr>
            <w:tcW w:type="dxa" w:w="5184"/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001_identity.sql</w:t>
            </w:r>
          </w:p>
        </w:tc>
        <w:tc>
          <w:tcPr>
            <w:tcW w:type="dxa" w:w="5184"/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002_quota.sql</w:t>
            </w:r>
          </w:p>
        </w:tc>
      </w:tr>
      <w:tr>
        <w:trPr>
          <w:cantSplit/>
        </w:trPr>
        <w:tc>
          <w:tcPr>
            <w:tcW w:type="dxa" w:w="5184"/>
            <w:tcMar>
              <w:top w:w="90" w:type="dxa"/>
              <w:start w:w="110" w:type="dxa"/>
              <w:bottom w:w="90" w:type="dxa"/>
              <w:end w:w="110" w:type="dxa"/>
            </w:tcMar>
            <w:shd w:fill="EAF3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003_quota_lock.sql</w:t>
            </w:r>
          </w:p>
        </w:tc>
        <w:tc>
          <w:tcPr>
            <w:tcW w:type="dxa" w:w="5184"/>
            <w:tcMar>
              <w:top w:w="90" w:type="dxa"/>
              <w:start w:w="110" w:type="dxa"/>
              <w:bottom w:w="90" w:type="dxa"/>
              <w:end w:w="110" w:type="dxa"/>
            </w:tcMar>
            <w:shd w:fill="EAF3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004_jobs.sql</w:t>
            </w:r>
          </w:p>
        </w:tc>
      </w:tr>
      <w:tr>
        <w:trPr>
          <w:cantSplit/>
        </w:trPr>
        <w:tc>
          <w:tcPr>
            <w:tcW w:type="dxa" w:w="5184"/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005_platform.sql</w:t>
            </w:r>
          </w:p>
        </w:tc>
        <w:tc>
          <w:tcPr>
            <w:tcW w:type="dxa" w:w="5184"/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006_support.sql</w:t>
            </w:r>
          </w:p>
        </w:tc>
      </w:tr>
      <w:tr>
        <w:trPr>
          <w:cantSplit/>
        </w:trPr>
        <w:tc>
          <w:tcPr>
            <w:tcW w:type="dxa" w:w="5184"/>
            <w:tcMar>
              <w:top w:w="90" w:type="dxa"/>
              <w:start w:w="110" w:type="dxa"/>
              <w:bottom w:w="90" w:type="dxa"/>
              <w:end w:w="110" w:type="dxa"/>
            </w:tcMar>
            <w:shd w:fill="EAF3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007_channels.sql</w:t>
            </w:r>
          </w:p>
        </w:tc>
        <w:tc>
          <w:tcPr>
            <w:tcW w:type="dxa" w:w="5184"/>
            <w:tcMar>
              <w:top w:w="90" w:type="dxa"/>
              <w:start w:w="110" w:type="dxa"/>
              <w:bottom w:w="90" w:type="dxa"/>
              <w:end w:w="110" w:type="dxa"/>
            </w:tcMar>
            <w:shd w:fill="EAF3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008_chat.sql</w:t>
            </w:r>
          </w:p>
        </w:tc>
      </w:tr>
      <w:tr>
        <w:trPr>
          <w:cantSplit/>
        </w:trPr>
        <w:tc>
          <w:tcPr>
            <w:tcW w:type="dxa" w:w="5184"/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009_channel_member_lock.sql</w:t>
            </w:r>
          </w:p>
        </w:tc>
        <w:tc>
          <w:tcPr>
            <w:tcW w:type="dxa" w:w="5184"/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010_widget_bootstrap.sql</w:t>
            </w:r>
          </w:p>
        </w:tc>
      </w:tr>
      <w:tr>
        <w:trPr>
          <w:cantSplit/>
        </w:trPr>
        <w:tc>
          <w:tcPr>
            <w:tcW w:type="dxa" w:w="5184"/>
            <w:tcMar>
              <w:top w:w="90" w:type="dxa"/>
              <w:start w:w="110" w:type="dxa"/>
              <w:bottom w:w="90" w:type="dxa"/>
              <w:end w:w="110" w:type="dxa"/>
            </w:tcMar>
            <w:shd w:fill="EAF3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011_channel_assignment.sql</w:t>
            </w:r>
          </w:p>
        </w:tc>
        <w:tc>
          <w:tcPr>
            <w:tcW w:type="dxa" w:w="5184"/>
            <w:tcMar>
              <w:top w:w="90" w:type="dxa"/>
              <w:start w:w="110" w:type="dxa"/>
              <w:bottom w:w="90" w:type="dxa"/>
              <w:end w:w="110" w:type="dxa"/>
            </w:tcMar>
            <w:shd w:fill="EAF3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012_channel_hours_prechat.sql</w:t>
            </w:r>
          </w:p>
        </w:tc>
      </w:tr>
      <w:tr>
        <w:trPr>
          <w:cantSplit/>
        </w:trPr>
        <w:tc>
          <w:tcPr>
            <w:tcW w:type="dxa" w:w="5184"/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013_visitor_profile.sql</w:t>
            </w:r>
          </w:p>
        </w:tc>
        <w:tc>
          <w:tcPr>
            <w:tcW w:type="dxa" w:w="5184"/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014_widget_config.sql</w:t>
            </w:r>
          </w:p>
        </w:tc>
      </w:tr>
      <w:tr>
        <w:trPr>
          <w:cantSplit/>
        </w:trPr>
        <w:tc>
          <w:tcPr>
            <w:tcW w:type="dxa" w:w="5184"/>
            <w:tcMar>
              <w:top w:w="90" w:type="dxa"/>
              <w:start w:w="110" w:type="dxa"/>
              <w:bottom w:w="90" w:type="dxa"/>
              <w:end w:w="110" w:type="dxa"/>
            </w:tcMar>
            <w:shd w:fill="EAF3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015_ai_rules.sql</w:t>
            </w:r>
          </w:p>
        </w:tc>
        <w:tc>
          <w:tcPr>
            <w:tcW w:type="dxa" w:w="5184"/>
            <w:tcMar>
              <w:top w:w="90" w:type="dxa"/>
              <w:start w:w="110" w:type="dxa"/>
              <w:bottom w:w="90" w:type="dxa"/>
              <w:end w:w="110" w:type="dxa"/>
            </w:tcMar>
            <w:shd w:fill="EAF3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016_ai_rules_idempotency.sql</w:t>
            </w:r>
          </w:p>
        </w:tc>
      </w:tr>
      <w:tr>
        <w:trPr>
          <w:cantSplit/>
        </w:trPr>
        <w:tc>
          <w:tcPr>
            <w:tcW w:type="dxa" w:w="5184"/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017_web_sources.sql</w:t>
            </w:r>
          </w:p>
        </w:tc>
        <w:tc>
          <w:tcPr>
            <w:tcW w:type="dxa" w:w="5184"/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018_web_source_policy.sql</w:t>
            </w:r>
          </w:p>
        </w:tc>
      </w:tr>
      <w:tr>
        <w:trPr>
          <w:cantSplit/>
        </w:trPr>
        <w:tc>
          <w:tcPr>
            <w:tcW w:type="dxa" w:w="5184"/>
            <w:tcMar>
              <w:top w:w="90" w:type="dxa"/>
              <w:start w:w="110" w:type="dxa"/>
              <w:bottom w:w="90" w:type="dxa"/>
              <w:end w:w="110" w:type="dxa"/>
            </w:tcMar>
            <w:shd w:fill="EAF3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019_knowledge.sql</w:t>
            </w:r>
          </w:p>
        </w:tc>
        <w:tc>
          <w:tcPr>
            <w:tcW w:type="dxa" w:w="5184"/>
            <w:tcMar>
              <w:top w:w="90" w:type="dxa"/>
              <w:start w:w="110" w:type="dxa"/>
              <w:bottom w:w="90" w:type="dxa"/>
              <w:end w:w="110" w:type="dxa"/>
            </w:tcMar>
            <w:shd w:fill="EAF3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020_knowledge_categories.sql</w:t>
            </w:r>
          </w:p>
        </w:tc>
      </w:tr>
      <w:tr>
        <w:trPr>
          <w:cantSplit/>
        </w:trPr>
        <w:tc>
          <w:tcPr>
            <w:tcW w:type="dxa" w:w="5184"/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021_knowledge_lifecycle.sql</w:t>
            </w:r>
          </w:p>
        </w:tc>
        <w:tc>
          <w:tcPr>
            <w:tcW w:type="dxa" w:w="5184"/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022_data_collection.sql</w:t>
            </w:r>
          </w:p>
        </w:tc>
      </w:tr>
      <w:tr>
        <w:trPr>
          <w:cantSplit/>
        </w:trPr>
        <w:tc>
          <w:tcPr>
            <w:tcW w:type="dxa" w:w="5184"/>
            <w:tcMar>
              <w:top w:w="90" w:type="dxa"/>
              <w:start w:w="110" w:type="dxa"/>
              <w:bottom w:w="90" w:type="dxa"/>
              <w:end w:w="110" w:type="dxa"/>
            </w:tcMar>
            <w:shd w:fill="EAF3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023_active_citations.sql</w:t>
            </w:r>
          </w:p>
        </w:tc>
        <w:tc>
          <w:tcPr>
            <w:tcW w:type="dxa" w:w="5184"/>
            <w:tcMar>
              <w:top w:w="90" w:type="dxa"/>
              <w:start w:w="110" w:type="dxa"/>
              <w:bottom w:w="90" w:type="dxa"/>
              <w:end w:w="110" w:type="dxa"/>
            </w:tcMar>
            <w:shd w:fill="EAF3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024_citation_schema_reconciliation.sql</w:t>
            </w:r>
          </w:p>
        </w:tc>
      </w:tr>
      <w:tr>
        <w:trPr>
          <w:cantSplit/>
        </w:trPr>
        <w:tc>
          <w:tcPr>
            <w:tcW w:type="dxa" w:w="5184"/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025_onboarding.sql</w:t>
            </w:r>
          </w:p>
        </w:tc>
        <w:tc>
          <w:tcPr>
            <w:tcW w:type="dxa" w:w="5184"/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026_platform_ai_agent.sql</w:t>
            </w:r>
          </w:p>
        </w:tc>
      </w:tr>
      <w:tr>
        <w:trPr>
          <w:cantSplit/>
        </w:trPr>
        <w:tc>
          <w:tcPr>
            <w:tcW w:type="dxa" w:w="5184"/>
            <w:tcMar>
              <w:top w:w="90" w:type="dxa"/>
              <w:start w:w="110" w:type="dxa"/>
              <w:bottom w:w="90" w:type="dxa"/>
              <w:end w:w="110" w:type="dxa"/>
            </w:tcMar>
            <w:shd w:fill="EAF3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027_platform_agent_rlS.sql</w:t>
            </w:r>
          </w:p>
        </w:tc>
        <w:tc>
          <w:tcPr>
            <w:tcW w:type="dxa" w:w="5184"/>
            <w:tcMar>
              <w:top w:w="90" w:type="dxa"/>
              <w:start w:w="110" w:type="dxa"/>
              <w:bottom w:w="90" w:type="dxa"/>
              <w:end w:w="110" w:type="dxa"/>
            </w:tcMar>
            <w:shd w:fill="EAF3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028_ai_usage_ledger.sql</w:t>
            </w:r>
          </w:p>
        </w:tc>
      </w:tr>
      <w:tr>
        <w:trPr>
          <w:cantSplit/>
        </w:trPr>
        <w:tc>
          <w:tcPr>
            <w:tcW w:type="dxa" w:w="5184"/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029_ai_usage_ledger_fk.sql</w:t>
            </w:r>
          </w:p>
        </w:tc>
        <w:tc>
          <w:tcPr>
            <w:tcW w:type="dxa" w:w="5184"/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030_knowledge_chunks.sql</w:t>
            </w:r>
          </w:p>
        </w:tc>
      </w:tr>
      <w:tr>
        <w:trPr>
          <w:cantSplit/>
        </w:trPr>
        <w:tc>
          <w:tcPr>
            <w:tcW w:type="dxa" w:w="5184"/>
            <w:tcMar>
              <w:top w:w="90" w:type="dxa"/>
              <w:start w:w="110" w:type="dxa"/>
              <w:bottom w:w="90" w:type="dxa"/>
              <w:end w:w="110" w:type="dxa"/>
            </w:tcMar>
            <w:shd w:fill="EAF3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031_knowledge_chunk_tenant_fk.sql</w:t>
            </w:r>
          </w:p>
        </w:tc>
        <w:tc>
          <w:tcPr>
            <w:tcW w:type="dxa" w:w="5184"/>
            <w:tcMar>
              <w:top w:w="90" w:type="dxa"/>
              <w:start w:w="110" w:type="dxa"/>
              <w:bottom w:w="90" w:type="dxa"/>
              <w:end w:w="110" w:type="dxa"/>
            </w:tcMar>
            <w:shd w:fill="EAF3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032_ai_usage_total_bound.sql</w:t>
            </w:r>
          </w:p>
        </w:tc>
      </w:tr>
      <w:tr>
        <w:trPr>
          <w:cantSplit/>
        </w:trPr>
        <w:tc>
          <w:tcPr>
            <w:tcW w:type="dxa" w:w="5184"/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033_ai_usage_drop_exact_total.sql</w:t>
            </w:r>
          </w:p>
        </w:tc>
        <w:tc>
          <w:tcPr>
            <w:tcW w:type="dxa" w:w="5184"/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034_knowledge_chunk_embeddings.sql</w:t>
            </w:r>
          </w:p>
        </w:tc>
      </w:tr>
      <w:tr>
        <w:trPr>
          <w:cantSplit/>
        </w:trPr>
        <w:tc>
          <w:tcPr>
            <w:tcW w:type="dxa" w:w="5184"/>
            <w:tcMar>
              <w:top w:w="90" w:type="dxa"/>
              <w:start w:w="110" w:type="dxa"/>
              <w:bottom w:w="90" w:type="dxa"/>
              <w:end w:w="110" w:type="dxa"/>
            </w:tcMar>
            <w:shd w:fill="EAF3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035_knowledge_imports.sql</w:t>
            </w:r>
          </w:p>
        </w:tc>
        <w:tc>
          <w:tcPr>
            <w:tcW w:type="dxa" w:w="5184"/>
            <w:tcMar>
              <w:top w:w="90" w:type="dxa"/>
              <w:start w:w="110" w:type="dxa"/>
              <w:bottom w:w="90" w:type="dxa"/>
              <w:end w:w="110" w:type="dxa"/>
            </w:tcMar>
            <w:shd w:fill="EAF3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036_knowledge_import_files.sql</w:t>
            </w:r>
          </w:p>
        </w:tc>
      </w:tr>
      <w:tr>
        <w:trPr>
          <w:cantSplit/>
        </w:trPr>
        <w:tc>
          <w:tcPr>
            <w:tcW w:type="dxa" w:w="5184"/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037_platform_agent_requests.sql</w:t>
            </w:r>
          </w:p>
        </w:tc>
        <w:tc>
          <w:tcPr>
            <w:tcW w:type="dxa" w:w="5184"/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038_worker_tenant_discovery.sql</w:t>
            </w:r>
          </w:p>
        </w:tc>
      </w:tr>
      <w:tr>
        <w:trPr>
          <w:cantSplit/>
        </w:trPr>
        <w:tc>
          <w:tcPr>
            <w:tcW w:type="dxa" w:w="5184"/>
            <w:tcMar>
              <w:top w:w="90" w:type="dxa"/>
              <w:start w:w="110" w:type="dxa"/>
              <w:bottom w:w="90" w:type="dxa"/>
              <w:end w:w="110" w:type="dxa"/>
            </w:tcMar>
            <w:shd w:fill="EAF3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039_web_source_snapshots.sql</w:t>
            </w:r>
          </w:p>
        </w:tc>
        <w:tc>
          <w:tcPr>
            <w:tcW w:type="dxa" w:w="5184"/>
            <w:tcMar>
              <w:top w:w="90" w:type="dxa"/>
              <w:start w:w="110" w:type="dxa"/>
              <w:bottom w:w="90" w:type="dxa"/>
              <w:end w:w="110" w:type="dxa"/>
            </w:tcMar>
            <w:shd w:fill="EAF3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040_web_snapshot_knowledge.sql</w:t>
            </w:r>
          </w:p>
        </w:tc>
      </w:tr>
      <w:tr>
        <w:trPr>
          <w:cantSplit/>
        </w:trPr>
        <w:tc>
          <w:tcPr>
            <w:tcW w:type="dxa" w:w="5184"/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041_web_source_generations.sql</w:t>
            </w:r>
          </w:p>
        </w:tc>
        <w:tc>
          <w:tcPr>
            <w:tcW w:type="dxa" w:w="5184"/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042_contacts.sql</w:t>
            </w:r>
          </w:p>
        </w:tc>
      </w:tr>
      <w:tr>
        <w:trPr>
          <w:cantSplit/>
        </w:trPr>
        <w:tc>
          <w:tcPr>
            <w:tcW w:type="dxa" w:w="5184"/>
            <w:tcMar>
              <w:top w:w="90" w:type="dxa"/>
              <w:start w:w="110" w:type="dxa"/>
              <w:bottom w:w="90" w:type="dxa"/>
              <w:end w:w="110" w:type="dxa"/>
            </w:tcMar>
            <w:shd w:fill="EAF3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043_contact_revision.sql</w:t>
            </w:r>
          </w:p>
        </w:tc>
        <w:tc>
          <w:tcPr>
            <w:tcW w:type="dxa" w:w="5184"/>
            <w:tcMar>
              <w:top w:w="90" w:type="dxa"/>
              <w:start w:w="110" w:type="dxa"/>
              <w:bottom w:w="90" w:type="dxa"/>
              <w:end w:w="110" w:type="dxa"/>
            </w:tcMar>
            <w:shd w:fill="EAF3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044_contact_soft_delete.sql</w:t>
            </w:r>
          </w:p>
        </w:tc>
      </w:tr>
      <w:tr>
        <w:trPr>
          <w:cantSplit/>
        </w:trPr>
        <w:tc>
          <w:tcPr>
            <w:tcW w:type="dxa" w:w="5184"/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045_contact_profile_fields.sql</w:t>
            </w:r>
          </w:p>
        </w:tc>
        <w:tc>
          <w:tcPr>
            <w:tcW w:type="dxa" w:w="5184"/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046_contact_merge_history.sql</w:t>
            </w:r>
          </w:p>
        </w:tc>
      </w:tr>
      <w:tr>
        <w:trPr>
          <w:cantSplit/>
        </w:trPr>
        <w:tc>
          <w:tcPr>
            <w:tcW w:type="dxa" w:w="5184"/>
            <w:tcMar>
              <w:top w:w="90" w:type="dxa"/>
              <w:start w:w="110" w:type="dxa"/>
              <w:bottom w:w="90" w:type="dxa"/>
              <w:end w:w="110" w:type="dxa"/>
            </w:tcMar>
            <w:shd w:fill="EAF3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047_contact_tags.sql</w:t>
            </w:r>
          </w:p>
        </w:tc>
        <w:tc>
          <w:tcPr>
            <w:tcW w:type="dxa" w:w="5184"/>
            <w:tcMar>
              <w:top w:w="90" w:type="dxa"/>
              <w:start w:w="110" w:type="dxa"/>
              <w:bottom w:w="90" w:type="dxa"/>
              <w:end w:w="110" w:type="dxa"/>
            </w:tcMar>
            <w:shd w:fill="EAF3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048_knowledge_version_publish_history.sql</w:t>
            </w:r>
          </w:p>
        </w:tc>
      </w:tr>
      <w:tr>
        <w:trPr>
          <w:cantSplit/>
        </w:trPr>
        <w:tc>
          <w:tcPr>
            <w:tcW w:type="dxa" w:w="5184"/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048_platform_agent_request_claim.sql</w:t>
            </w:r>
          </w:p>
        </w:tc>
        <w:tc>
          <w:tcPr>
            <w:tcW w:type="dxa" w:w="5184"/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049_platform_agent_turn_fence.sql</w:t>
            </w:r>
          </w:p>
        </w:tc>
      </w:tr>
      <w:tr>
        <w:trPr>
          <w:cantSplit/>
        </w:trPr>
        <w:tc>
          <w:tcPr>
            <w:tcW w:type="dxa" w:w="5184"/>
            <w:tcMar>
              <w:top w:w="90" w:type="dxa"/>
              <w:start w:w="110" w:type="dxa"/>
              <w:bottom w:w="90" w:type="dxa"/>
              <w:end w:w="110" w:type="dxa"/>
            </w:tcMar>
            <w:shd w:fill="EAF3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050_platform_agent_pending_recovery.sql</w:t>
            </w:r>
          </w:p>
        </w:tc>
        <w:tc>
          <w:tcPr>
            <w:tcW w:type="dxa" w:w="5184"/>
            <w:tcMar>
              <w:top w:w="90" w:type="dxa"/>
              <w:start w:w="110" w:type="dxa"/>
              <w:bottom w:w="90" w:type="dxa"/>
              <w:end w:w="110" w:type="dxa"/>
            </w:tcMar>
            <w:shd w:fill="EAF3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051_quota_entitlement_upgrade.sql</w:t>
            </w:r>
          </w:p>
        </w:tc>
      </w:tr>
      <w:tr>
        <w:trPr>
          <w:cantSplit/>
        </w:trPr>
        <w:tc>
          <w:tcPr>
            <w:tcW w:type="dxa" w:w="5184"/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052_ai_reply_dispatch_fence.sql</w:t>
            </w:r>
          </w:p>
        </w:tc>
        <w:tc>
          <w:tcPr>
            <w:tcW w:type="dxa" w:w="5184"/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053_ai_reply_dispatch_scope.sql</w:t>
            </w:r>
          </w:p>
        </w:tc>
      </w:tr>
      <w:tr>
        <w:trPr>
          <w:cantSplit/>
        </w:trPr>
        <w:tc>
          <w:tcPr>
            <w:tcW w:type="dxa" w:w="5184"/>
            <w:tcMar>
              <w:top w:w="90" w:type="dxa"/>
              <w:start w:w="110" w:type="dxa"/>
              <w:bottom w:w="90" w:type="dxa"/>
              <w:end w:w="110" w:type="dxa"/>
            </w:tcMar>
            <w:shd w:fill="EAF3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054_web_source_schedule.sql</w:t>
            </w:r>
          </w:p>
        </w:tc>
        <w:tc>
          <w:tcPr>
            <w:tcW w:type="dxa" w:w="5184"/>
            <w:tcMar>
              <w:top w:w="90" w:type="dxa"/>
              <w:start w:w="110" w:type="dxa"/>
              <w:bottom w:w="90" w:type="dxa"/>
              <w:end w:w="110" w:type="dxa"/>
            </w:tcMar>
            <w:shd w:fill="EAF3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055_web_refresh_active_index.sql</w:t>
            </w:r>
          </w:p>
        </w:tc>
      </w:tr>
      <w:tr>
        <w:trPr>
          <w:cantSplit/>
        </w:trPr>
        <w:tc>
          <w:tcPr>
            <w:tcW w:type="dxa" w:w="5184"/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056_model_grant_expiry.sql</w:t>
            </w:r>
          </w:p>
        </w:tc>
        <w:tc>
          <w:tcPr>
            <w:tcW w:type="dxa" w:w="5184"/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  <w:spacing w:before="200" w:after="100" w:line="240" w:lineRule="auto"/>
      </w:pPr>
      <w:r>
        <w:rPr>
          <w:rFonts w:ascii="Arial" w:hAnsi="Arial"/>
          <w:b/>
          <w:i w:val="0"/>
          <w:color w:val="000000"/>
          <w:sz w:val="30"/>
        </w:rPr>
        <w:t>10 Backup Restore And Recovery Drill</w:t>
      </w:r>
    </w:p>
    <w:p>
      <w:pPr>
        <w:spacing w:before="0" w:after="120" w:line="259" w:lineRule="auto"/>
      </w:pPr>
      <w:r>
        <w:rPr>
          <w:rFonts w:ascii="Arial" w:hAnsi="Arial"/>
          <w:b w:val="0"/>
          <w:i w:val="0"/>
          <w:color w:val="000000"/>
          <w:sz w:val="20"/>
        </w:rPr>
        <w:t>npm run db:restore-drill is an operator-driven local verification tool. It is not a production restore service or an approved RPO/RTO runbook.</w:t>
      </w:r>
    </w:p>
    <w:p>
      <w:pPr>
        <w:pStyle w:val="Heading2"/>
        <w:keepNext/>
        <w:spacing w:before="120" w:after="100" w:line="240" w:lineRule="auto"/>
      </w:pPr>
      <w:r>
        <w:rPr>
          <w:rFonts w:ascii="Arial" w:hAnsi="Arial"/>
          <w:b/>
          <w:i w:val="0"/>
          <w:color w:val="000000"/>
          <w:sz w:val="23"/>
        </w:rPr>
        <w:t>What The Drill Verifies</w:t>
      </w:r>
    </w:p>
    <w:p>
      <w:pPr>
        <w:pStyle w:val="ListBullet"/>
        <w:spacing w:before="0" w:after="60" w:line="259" w:lineRule="auto"/>
        <w:ind w:left="331" w:hanging="187"/>
      </w:pPr>
      <w:r>
        <w:rPr>
          <w:rFonts w:ascii="Arial" w:hAnsi="Arial"/>
          <w:b w:val="0"/>
          <w:i w:val="0"/>
          <w:color w:val="000000"/>
          <w:sz w:val="20"/>
        </w:rPr>
        <w:t>Creates a disposable gotek_restore_&lt;random&gt; database and never accepts a caller-provided restore target.</w:t>
      </w:r>
    </w:p>
    <w:p>
      <w:pPr>
        <w:pStyle w:val="ListBullet"/>
        <w:spacing w:before="0" w:after="60" w:line="259" w:lineRule="auto"/>
        <w:ind w:left="331" w:hanging="187"/>
      </w:pPr>
      <w:r>
        <w:rPr>
          <w:rFonts w:ascii="Arial" w:hAnsi="Arial"/>
          <w:b w:val="0"/>
          <w:i w:val="0"/>
          <w:color w:val="000000"/>
          <w:sz w:val="20"/>
        </w:rPr>
        <w:t>Locks live tables in SHARE mode, counts rows and computes canonical SHA-256 content hashes.</w:t>
      </w:r>
    </w:p>
    <w:p>
      <w:pPr>
        <w:pStyle w:val="ListBullet"/>
        <w:spacing w:before="0" w:after="60" w:line="259" w:lineRule="auto"/>
        <w:ind w:left="331" w:hanging="187"/>
      </w:pPr>
      <w:r>
        <w:rPr>
          <w:rFonts w:ascii="Arial" w:hAnsi="Arial"/>
          <w:b w:val="0"/>
          <w:i w:val="0"/>
          <w:color w:val="000000"/>
          <w:sz w:val="20"/>
        </w:rPr>
        <w:t>Runs pg_dump and stores a private checksum sidecar under .local/backups.</w:t>
      </w:r>
    </w:p>
    <w:p>
      <w:pPr>
        <w:pStyle w:val="ListBullet"/>
        <w:spacing w:before="0" w:after="60" w:line="259" w:lineRule="auto"/>
        <w:ind w:left="331" w:hanging="187"/>
      </w:pPr>
      <w:r>
        <w:rPr>
          <w:rFonts w:ascii="Arial" w:hAnsi="Arial"/>
          <w:b w:val="0"/>
          <w:i w:val="0"/>
          <w:color w:val="000000"/>
          <w:sz w:val="20"/>
        </w:rPr>
        <w:t>Restores with pg_restore and compares counts, content hashes and policy metadata.</w:t>
      </w:r>
    </w:p>
    <w:p>
      <w:pPr>
        <w:pStyle w:val="ListBullet"/>
        <w:spacing w:before="0" w:after="60" w:line="259" w:lineRule="auto"/>
        <w:ind w:left="331" w:hanging="187"/>
      </w:pPr>
      <w:r>
        <w:rPr>
          <w:rFonts w:ascii="Arial" w:hAnsi="Arial"/>
          <w:b w:val="0"/>
          <w:i w:val="0"/>
          <w:color w:val="000000"/>
          <w:sz w:val="20"/>
        </w:rPr>
        <w:t>Clears sessions, challenges and local delivery; revokes invitations, providers, grants, support and visitor sessions.</w:t>
      </w:r>
    </w:p>
    <w:p>
      <w:pPr>
        <w:pStyle w:val="ListBullet"/>
        <w:spacing w:before="0" w:after="60" w:line="259" w:lineRule="auto"/>
        <w:ind w:left="331" w:hanging="187"/>
      </w:pPr>
      <w:r>
        <w:rPr>
          <w:rFonts w:ascii="Arial" w:hAnsi="Arial"/>
          <w:b w:val="0"/>
          <w:i w:val="0"/>
          <w:color w:val="000000"/>
          <w:sz w:val="20"/>
        </w:rPr>
        <w:t>Quarantines queued/running/retry/unknown jobs and pending agent work; no server or worker starts on the restored database.</w:t>
      </w:r>
    </w:p>
    <w:p>
      <w:pPr>
        <w:pStyle w:val="ListBullet"/>
        <w:spacing w:before="0" w:after="60" w:line="259" w:lineRule="auto"/>
        <w:ind w:left="331" w:hanging="187"/>
      </w:pPr>
      <w:r>
        <w:rPr>
          <w:rFonts w:ascii="Arial" w:hAnsi="Arial"/>
          <w:b w:val="0"/>
          <w:i w:val="0"/>
          <w:color w:val="000000"/>
          <w:sz w:val="20"/>
        </w:rPr>
        <w:t>Tests fail-closed RLS under the application role and drops the disposable database at the end.</w:t>
      </w:r>
    </w:p>
    <w:p>
      <w:pPr>
        <w:pStyle w:val="Heading2"/>
        <w:keepNext/>
        <w:spacing w:before="120" w:after="100" w:line="240" w:lineRule="auto"/>
      </w:pPr>
      <w:r>
        <w:rPr>
          <w:rFonts w:ascii="Arial" w:hAnsi="Arial"/>
          <w:b/>
          <w:i w:val="0"/>
          <w:color w:val="000000"/>
          <w:sz w:val="23"/>
        </w:rPr>
        <w:t>Run The Drill</w:t>
      </w:r>
    </w:p>
    <w:p>
      <w:pPr>
        <w:spacing w:before="0" w:after="0" w:line="240" w:lineRule="auto"/>
        <w:ind w:left="259" w:right="259"/>
        <w:shd w:fill="F5F6F8" w:val="clear"/>
      </w:pPr>
      <w:r>
        <w:rPr>
          <w:rFonts w:ascii="Courier New" w:hAnsi="Courier New"/>
          <w:b w:val="0"/>
          <w:i w:val="0"/>
          <w:color w:val="1F2937"/>
          <w:sz w:val="17"/>
        </w:rPr>
        <w:t># Requires the dedicated local cluster and migration setup.</w:t>
      </w:r>
    </w:p>
    <w:p>
      <w:pPr>
        <w:spacing w:before="0" w:after="0" w:line="240" w:lineRule="auto"/>
        <w:ind w:left="259" w:right="259"/>
        <w:shd w:fill="F5F6F8" w:val="clear"/>
      </w:pPr>
      <w:r>
        <w:rPr>
          <w:rFonts w:ascii="Courier New" w:hAnsi="Courier New"/>
          <w:b w:val="0"/>
          <w:i w:val="0"/>
          <w:color w:val="1F2937"/>
          <w:sz w:val="17"/>
        </w:rPr>
        <w:t>npm run db:restore-drill</w:t>
      </w:r>
    </w:p>
    <w:p>
      <w:pPr>
        <w:spacing w:before="0" w:after="40" w:line="259" w:lineRule="auto"/>
      </w:pPr>
    </w:p>
    <w:p>
      <w:pPr>
        <w:spacing w:before="0" w:after="120" w:line="259" w:lineRule="auto"/>
      </w:pPr>
      <w:r>
        <w:rPr>
          <w:rFonts w:ascii="Arial" w:hAnsi="Arial"/>
          <w:b w:val="0"/>
          <w:i w:val="0"/>
          <w:color w:val="000000"/>
          <w:sz w:val="20"/>
        </w:rPr>
        <w:t>Current evidence records a PASS over 55 tables in a disposable local database. It does not prove production storage restore, external object restore, RPO/RTO, monitoring or rollback readiness. Keep backup files under .local and never commit them.</w:t>
      </w:r>
    </w:p>
    <w:p>
      <w:pPr>
        <w:pStyle w:val="Heading2"/>
        <w:keepNext/>
        <w:spacing w:before="120" w:after="100" w:line="240" w:lineRule="auto"/>
      </w:pPr>
      <w:r>
        <w:rPr>
          <w:rFonts w:ascii="Arial" w:hAnsi="Arial"/>
          <w:b/>
          <w:i w:val="0"/>
          <w:color w:val="000000"/>
          <w:sz w:val="23"/>
        </w:rPr>
        <w:t>Recovery States A Developer Must Preserve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2160"/>
            <w:tcMar>
              <w:top w:w="90" w:type="dxa"/>
              <w:start w:w="110" w:type="dxa"/>
              <w:bottom w:w="90" w:type="dxa"/>
              <w:end w:w="110" w:type="dxa"/>
            </w:tcMar>
            <w:shd w:fill="0057E1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State</w:t>
            </w:r>
          </w:p>
        </w:tc>
        <w:tc>
          <w:tcPr>
            <w:tcW w:type="dxa" w:w="4680"/>
            <w:tcMar>
              <w:top w:w="90" w:type="dxa"/>
              <w:start w:w="110" w:type="dxa"/>
              <w:bottom w:w="90" w:type="dxa"/>
              <w:end w:w="110" w:type="dxa"/>
            </w:tcMar>
            <w:shd w:fill="0057E1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Meaning</w:t>
            </w:r>
          </w:p>
        </w:tc>
        <w:tc>
          <w:tcPr>
            <w:tcW w:type="dxa" w:w="3528"/>
            <w:tcMar>
              <w:top w:w="90" w:type="dxa"/>
              <w:start w:w="110" w:type="dxa"/>
              <w:bottom w:w="90" w:type="dxa"/>
              <w:end w:w="110" w:type="dxa"/>
            </w:tcMar>
            <w:shd w:fill="0057E1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Required behavior</w:t>
            </w:r>
          </w:p>
        </w:tc>
      </w:tr>
      <w:tr>
        <w:trPr>
          <w:cantSplit/>
        </w:trPr>
        <w:tc>
          <w:tcPr>
            <w:tcW w:type="dxa" w:w="2160"/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queued / running / retry</w:t>
            </w:r>
          </w:p>
        </w:tc>
        <w:tc>
          <w:tcPr>
            <w:tcW w:type="dxa" w:w="4680"/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Work has not reached a confirmed terminal outcome</w:t>
            </w:r>
          </w:p>
        </w:tc>
        <w:tc>
          <w:tcPr>
            <w:tcW w:type="dxa" w:w="3528"/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Use durable lease and tenant scope; recover stale work only through the existing job path</w:t>
            </w:r>
          </w:p>
        </w:tc>
      </w:tr>
      <w:tr>
        <w:trPr>
          <w:cantSplit/>
        </w:trPr>
        <w:tc>
          <w:tcPr>
            <w:tcW w:type="dxa" w:w="2160"/>
            <w:tcMar>
              <w:top w:w="90" w:type="dxa"/>
              <w:start w:w="110" w:type="dxa"/>
              <w:bottom w:w="90" w:type="dxa"/>
              <w:end w:w="110" w:type="dxa"/>
            </w:tcMar>
            <w:shd w:fill="EAF3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unknown</w:t>
            </w:r>
          </w:p>
        </w:tc>
        <w:tc>
          <w:tcPr>
            <w:tcW w:type="dxa" w:w="4680"/>
            <w:tcMar>
              <w:top w:w="90" w:type="dxa"/>
              <w:start w:w="110" w:type="dxa"/>
              <w:bottom w:w="90" w:type="dxa"/>
              <w:end w:w="110" w:type="dxa"/>
            </w:tcMar>
            <w:shd w:fill="EAF3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External or dispatch outcome cannot be confirmed safely</w:t>
            </w:r>
          </w:p>
        </w:tc>
        <w:tc>
          <w:tcPr>
            <w:tcW w:type="dxa" w:w="3528"/>
            <w:tcMar>
              <w:top w:w="90" w:type="dxa"/>
              <w:start w:w="110" w:type="dxa"/>
              <w:bottom w:w="90" w:type="dxa"/>
              <w:end w:w="110" w:type="dxa"/>
            </w:tcMar>
            <w:shd w:fill="EAF3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Do not blindly resend a provider or external effect</w:t>
            </w:r>
          </w:p>
        </w:tc>
      </w:tr>
      <w:tr>
        <w:trPr>
          <w:cantSplit/>
        </w:trPr>
        <w:tc>
          <w:tcPr>
            <w:tcW w:type="dxa" w:w="2160"/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confirmed / succeeded</w:t>
            </w:r>
          </w:p>
        </w:tc>
        <w:tc>
          <w:tcPr>
            <w:tcW w:type="dxa" w:w="4680"/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Side effect or response has a durable receipt</w:t>
            </w:r>
          </w:p>
        </w:tc>
        <w:tc>
          <w:tcPr>
            <w:tcW w:type="dxa" w:w="3528"/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Keep idempotency and ownership checks on subsequent reads</w:t>
            </w:r>
          </w:p>
        </w:tc>
      </w:tr>
      <w:tr>
        <w:trPr>
          <w:cantSplit/>
        </w:trPr>
        <w:tc>
          <w:tcPr>
            <w:tcW w:type="dxa" w:w="2160"/>
            <w:tcMar>
              <w:top w:w="90" w:type="dxa"/>
              <w:start w:w="110" w:type="dxa"/>
              <w:bottom w:w="90" w:type="dxa"/>
              <w:end w:w="110" w:type="dxa"/>
            </w:tcMar>
            <w:shd w:fill="EAF3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quarantined</w:t>
            </w:r>
          </w:p>
        </w:tc>
        <w:tc>
          <w:tcPr>
            <w:tcW w:type="dxa" w:w="4680"/>
            <w:tcMar>
              <w:top w:w="90" w:type="dxa"/>
              <w:start w:w="110" w:type="dxa"/>
              <w:bottom w:w="90" w:type="dxa"/>
              <w:end w:w="110" w:type="dxa"/>
            </w:tcMar>
            <w:shd w:fill="EAF3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Restore or recovery intentionally disabled execution</w:t>
            </w:r>
          </w:p>
        </w:tc>
        <w:tc>
          <w:tcPr>
            <w:tcW w:type="dxa" w:w="3528"/>
            <w:tcMar>
              <w:top w:w="90" w:type="dxa"/>
              <w:start w:w="110" w:type="dxa"/>
              <w:bottom w:w="90" w:type="dxa"/>
              <w:end w:w="110" w:type="dxa"/>
            </w:tcMar>
            <w:shd w:fill="EAF3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Require an explicit operational decision before reactivation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  <w:spacing w:before="200" w:after="100" w:line="240" w:lineRule="auto"/>
      </w:pPr>
      <w:r>
        <w:rPr>
          <w:rFonts w:ascii="Arial" w:hAnsi="Arial"/>
          <w:b/>
          <w:i w:val="0"/>
          <w:color w:val="000000"/>
          <w:sz w:val="30"/>
        </w:rPr>
        <w:t>11 Verification Troubleshooting And Handoff Checklist</w:t>
      </w:r>
    </w:p>
    <w:p>
      <w:pPr>
        <w:pStyle w:val="Heading2"/>
        <w:keepNext/>
        <w:spacing w:before="120" w:after="100" w:line="240" w:lineRule="auto"/>
      </w:pPr>
      <w:r>
        <w:rPr>
          <w:rFonts w:ascii="Arial" w:hAnsi="Arial"/>
          <w:b/>
          <w:i w:val="0"/>
          <w:color w:val="000000"/>
          <w:sz w:val="23"/>
        </w:rPr>
        <w:t>Commands That Exist In package.json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shd w:fill="0A1A4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Command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shd w:fill="0A1A4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Purpose</w:t>
            </w:r>
          </w:p>
        </w:tc>
        <w:tc>
          <w:tcPr>
            <w:tcW w:type="dxa" w:w="3671"/>
            <w:tcMar>
              <w:top w:w="90" w:type="dxa"/>
              <w:start w:w="110" w:type="dxa"/>
              <w:bottom w:w="90" w:type="dxa"/>
              <w:end w:w="110" w:type="dxa"/>
            </w:tcMar>
            <w:shd w:fill="0A1A4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Expected limitation</w:t>
            </w:r>
          </w:p>
        </w:tc>
      </w:tr>
      <w:tr>
        <w:trPr>
          <w:cantSplit/>
        </w:trPr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npm ci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Install locked dependencies</w:t>
            </w:r>
          </w:p>
        </w:tc>
        <w:tc>
          <w:tcPr>
            <w:tcW w:type="dxa" w:w="3671"/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Native argon2 may require a compatible toolchain</w:t>
            </w:r>
          </w:p>
        </w:tc>
      </w:tr>
      <w:tr>
        <w:trPr>
          <w:cantSplit/>
        </w:trPr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shd w:fill="EAF3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npm run db:setup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shd w:fill="EAF3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Create local roles/database and apply migrations</w:t>
            </w:r>
          </w:p>
        </w:tc>
        <w:tc>
          <w:tcPr>
            <w:tcW w:type="dxa" w:w="3671"/>
            <w:tcMar>
              <w:top w:w="90" w:type="dxa"/>
              <w:start w:w="110" w:type="dxa"/>
              <w:bottom w:w="90" w:type="dxa"/>
              <w:end w:w="110" w:type="dxa"/>
            </w:tcMar>
            <w:shd w:fill="EAF3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Requires an existing local PostgreSQL cluster</w:t>
            </w:r>
          </w:p>
        </w:tc>
      </w:tr>
      <w:tr>
        <w:trPr>
          <w:cantSplit/>
        </w:trPr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npm run dev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Run Express with Vite middleware</w:t>
            </w:r>
          </w:p>
        </w:tc>
        <w:tc>
          <w:tcPr>
            <w:tcW w:type="dxa" w:w="3671"/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Local/test only; fixed bind 127.0.0.1:4317</w:t>
            </w:r>
          </w:p>
        </w:tc>
      </w:tr>
      <w:tr>
        <w:trPr>
          <w:cantSplit/>
        </w:trPr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shd w:fill="EAF3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npm run build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shd w:fill="EAF3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TypeScript check and Vite build</w:t>
            </w:r>
          </w:p>
        </w:tc>
        <w:tc>
          <w:tcPr>
            <w:tcW w:type="dxa" w:w="3671"/>
            <w:tcMar>
              <w:top w:w="90" w:type="dxa"/>
              <w:start w:w="110" w:type="dxa"/>
              <w:bottom w:w="90" w:type="dxa"/>
              <w:end w:w="110" w:type="dxa"/>
            </w:tcMar>
            <w:shd w:fill="EAF3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Does not prove live browser or deployment acceptance</w:t>
            </w:r>
          </w:p>
        </w:tc>
      </w:tr>
      <w:tr>
        <w:trPr>
          <w:cantSplit/>
        </w:trPr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npx tsc --noEmit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TypeScript check</w:t>
            </w:r>
          </w:p>
        </w:tc>
        <w:tc>
          <w:tcPr>
            <w:tcW w:type="dxa" w:w="3671"/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No separate lint script exists</w:t>
            </w:r>
          </w:p>
        </w:tc>
      </w:tr>
      <w:tr>
        <w:trPr>
          <w:cantSplit/>
        </w:trPr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shd w:fill="EAF3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npm test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shd w:fill="EAF3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Serial Node test runner with DB integration</w:t>
            </w:r>
          </w:p>
        </w:tc>
        <w:tc>
          <w:tcPr>
            <w:tcW w:type="dxa" w:w="3671"/>
            <w:tcMar>
              <w:top w:w="90" w:type="dxa"/>
              <w:start w:w="110" w:type="dxa"/>
              <w:bottom w:w="90" w:type="dxa"/>
              <w:end w:w="110" w:type="dxa"/>
            </w:tcMar>
            <w:shd w:fill="EAF3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Tests do not prove live provider or production behavior</w:t>
            </w:r>
          </w:p>
        </w:tc>
      </w:tr>
      <w:tr>
        <w:trPr>
          <w:cantSplit/>
        </w:trPr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npm run worker:ai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AI worker</w:t>
            </w:r>
          </w:p>
        </w:tc>
        <w:tc>
          <w:tcPr>
            <w:tcW w:type="dxa" w:w="3671"/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Needs trusted workspace or --all and provider configuration</w:t>
            </w:r>
          </w:p>
        </w:tc>
      </w:tr>
      <w:tr>
        <w:trPr>
          <w:cantSplit/>
        </w:trPr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shd w:fill="EAF3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npm run worker:embedding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shd w:fill="EAF3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Embedding batch</w:t>
            </w:r>
          </w:p>
        </w:tc>
        <w:tc>
          <w:tcPr>
            <w:tcW w:type="dxa" w:w="3671"/>
            <w:tcMar>
              <w:top w:w="90" w:type="dxa"/>
              <w:start w:w="110" w:type="dxa"/>
              <w:bottom w:w="90" w:type="dxa"/>
              <w:end w:w="110" w:type="dxa"/>
            </w:tcMar>
            <w:shd w:fill="EAF3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Needs workspace/version/model UUIDs and granted provider</w:t>
            </w:r>
          </w:p>
        </w:tc>
      </w:tr>
      <w:tr>
        <w:trPr>
          <w:cantSplit/>
        </w:trPr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npm run worker:web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Web refresh worker</w:t>
            </w:r>
          </w:p>
        </w:tc>
        <w:tc>
          <w:tcPr>
            <w:tcW w:type="dxa" w:w="3671"/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Static fetch policy, not JS crawler</w:t>
            </w:r>
          </w:p>
        </w:tc>
      </w:tr>
      <w:tr>
        <w:trPr>
          <w:cantSplit/>
        </w:trPr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shd w:fill="EAF3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npm run db:restore-drill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shd w:fill="EAF3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Disposable backup/restore verification</w:t>
            </w:r>
          </w:p>
        </w:tc>
        <w:tc>
          <w:tcPr>
            <w:tcW w:type="dxa" w:w="3671"/>
            <w:tcMar>
              <w:top w:w="90" w:type="dxa"/>
              <w:start w:w="110" w:type="dxa"/>
              <w:bottom w:w="90" w:type="dxa"/>
              <w:end w:w="110" w:type="dxa"/>
            </w:tcMar>
            <w:shd w:fill="EAF3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Not a production restore runbook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20" w:after="100" w:line="240" w:lineRule="auto"/>
      </w:pPr>
      <w:r>
        <w:rPr>
          <w:rFonts w:ascii="Arial" w:hAnsi="Arial"/>
          <w:b/>
          <w:i w:val="0"/>
          <w:color w:val="000000"/>
          <w:sz w:val="23"/>
        </w:rPr>
        <w:t>Common Errors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shd w:fill="0057E1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Symptom or code</w:t>
            </w:r>
          </w:p>
        </w:tc>
        <w:tc>
          <w:tcPr>
            <w:tcW w:type="dxa" w:w="3744"/>
            <w:tcMar>
              <w:top w:w="90" w:type="dxa"/>
              <w:start w:w="110" w:type="dxa"/>
              <w:bottom w:w="90" w:type="dxa"/>
              <w:end w:w="110" w:type="dxa"/>
            </w:tcMar>
            <w:shd w:fill="0057E1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Likely cause</w:t>
            </w:r>
          </w:p>
        </w:tc>
        <w:tc>
          <w:tcPr>
            <w:tcW w:type="dxa" w:w="3456"/>
            <w:tcMar>
              <w:top w:w="90" w:type="dxa"/>
              <w:start w:w="110" w:type="dxa"/>
              <w:bottom w:w="90" w:type="dxa"/>
              <w:end w:w="110" w:type="dxa"/>
            </w:tcMar>
            <w:shd w:fill="0057E1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Safe next check</w:t>
            </w:r>
          </w:p>
        </w:tc>
      </w:tr>
      <w:tr>
        <w:trPr>
          <w:cantSplit/>
        </w:trPr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ENOENT .local/runtime.json</w:t>
            </w:r>
          </w:p>
        </w:tc>
        <w:tc>
          <w:tcPr>
            <w:tcW w:type="dxa" w:w="3744"/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No DATABASE_URL and setup has not completed</w:t>
            </w:r>
          </w:p>
        </w:tc>
        <w:tc>
          <w:tcPr>
            <w:tcW w:type="dxa" w:w="3456"/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Start the dedicated cluster, then run npm run db:setup</w:t>
            </w:r>
          </w:p>
        </w:tc>
      </w:tr>
      <w:tr>
        <w:trPr>
          <w:cantSplit/>
        </w:trPr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shd w:fill="EAF3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ECONNREFUSED on 55432</w:t>
            </w:r>
          </w:p>
        </w:tc>
        <w:tc>
          <w:tcPr>
            <w:tcW w:type="dxa" w:w="3744"/>
            <w:tcMar>
              <w:top w:w="90" w:type="dxa"/>
              <w:start w:w="110" w:type="dxa"/>
              <w:bottom w:w="90" w:type="dxa"/>
              <w:end w:w="110" w:type="dxa"/>
            </w:tcMar>
            <w:shd w:fill="EAF3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PostgreSQL cluster is stopped or wrong cluster</w:t>
            </w:r>
          </w:p>
        </w:tc>
        <w:tc>
          <w:tcPr>
            <w:tcW w:type="dxa" w:w="3456"/>
            <w:tcMar>
              <w:top w:w="90" w:type="dxa"/>
              <w:start w:w="110" w:type="dxa"/>
              <w:bottom w:w="90" w:type="dxa"/>
              <w:end w:w="110" w:type="dxa"/>
            </w:tcMar>
            <w:shd w:fill="EAF3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pg_ctl -D .local/postgres status; inspect the log</w:t>
            </w:r>
          </w:p>
        </w:tc>
      </w:tr>
      <w:tr>
        <w:trPr>
          <w:cantSplit/>
        </w:trPr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CSRF_REJECTED or connection error in UI</w:t>
            </w:r>
          </w:p>
        </w:tc>
        <w:tc>
          <w:tcPr>
            <w:tcW w:type="dxa" w:w="3744"/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APP_ORIGIN mismatch, missing X-Gotek-Request, server or DB unavailable</w:t>
            </w:r>
          </w:p>
        </w:tc>
        <w:tc>
          <w:tcPr>
            <w:tcW w:type="dxa" w:w="3456"/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Open /api/health and compare the browser origin</w:t>
            </w:r>
          </w:p>
        </w:tc>
      </w:tr>
      <w:tr>
        <w:trPr>
          <w:cantSplit/>
        </w:trPr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shd w:fill="EAF3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PROVIDER_SECRET_MISSING</w:t>
            </w:r>
          </w:p>
        </w:tc>
        <w:tc>
          <w:tcPr>
            <w:tcW w:type="dxa" w:w="3744"/>
            <w:tcMar>
              <w:top w:w="90" w:type="dxa"/>
              <w:start w:w="110" w:type="dxa"/>
              <w:bottom w:w="90" w:type="dxa"/>
              <w:end w:w="110" w:type="dxa"/>
            </w:tcMar>
            <w:shd w:fill="EAF3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secret_ref name does not match exported variable</w:t>
            </w:r>
          </w:p>
        </w:tc>
        <w:tc>
          <w:tcPr>
            <w:tcW w:type="dxa" w:w="3456"/>
            <w:tcMar>
              <w:top w:w="90" w:type="dxa"/>
              <w:start w:w="110" w:type="dxa"/>
              <w:bottom w:w="90" w:type="dxa"/>
              <w:end w:w="110" w:type="dxa"/>
            </w:tcMar>
            <w:shd w:fill="EAF3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Use printenv VAR &gt;/dev/null; never print the value</w:t>
            </w:r>
          </w:p>
        </w:tc>
      </w:tr>
      <w:tr>
        <w:trPr>
          <w:cantSplit/>
        </w:trPr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PROVIDER_NOT_CONFIGURED</w:t>
            </w:r>
          </w:p>
        </w:tc>
        <w:tc>
          <w:tcPr>
            <w:tcW w:type="dxa" w:w="3744"/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Local adapter or disabled provider/model</w:t>
            </w:r>
          </w:p>
        </w:tc>
        <w:tc>
          <w:tcPr>
            <w:tcW w:type="dxa" w:w="3456"/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Use a granted active provider with an authorized secret</w:t>
            </w:r>
          </w:p>
        </w:tc>
      </w:tr>
      <w:tr>
        <w:trPr>
          <w:cantSplit/>
        </w:trPr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shd w:fill="EAF3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INVALID_WORKER_CONFIGURATION</w:t>
            </w:r>
          </w:p>
        </w:tc>
        <w:tc>
          <w:tcPr>
            <w:tcW w:type="dxa" w:w="3744"/>
            <w:tcMar>
              <w:top w:w="90" w:type="dxa"/>
              <w:start w:w="110" w:type="dxa"/>
              <w:bottom w:w="90" w:type="dxa"/>
              <w:end w:w="110" w:type="dxa"/>
            </w:tcMar>
            <w:shd w:fill="EAF3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Missing UUID or invalid batch size</w:t>
            </w:r>
          </w:p>
        </w:tc>
        <w:tc>
          <w:tcPr>
            <w:tcW w:type="dxa" w:w="3456"/>
            <w:tcMar>
              <w:top w:w="90" w:type="dxa"/>
              <w:start w:w="110" w:type="dxa"/>
              <w:bottom w:w="90" w:type="dxa"/>
              <w:end w:w="110" w:type="dxa"/>
            </w:tcMar>
            <w:shd w:fill="EAF3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Check worker variables and tenant ownership</w:t>
            </w:r>
          </w:p>
        </w:tc>
      </w:tr>
      <w:tr>
        <w:trPr>
          <w:cantSplit/>
        </w:trPr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WORKSPACE_AND_ALL_ARE_MUTUALLY_EXCLUSIVE</w:t>
            </w:r>
          </w:p>
        </w:tc>
        <w:tc>
          <w:tcPr>
            <w:tcW w:type="dxa" w:w="3744"/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AI worker received --all plus workspace variable</w:t>
            </w:r>
          </w:p>
        </w:tc>
        <w:tc>
          <w:tcPr>
            <w:tcW w:type="dxa" w:w="3456"/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Choose one worker mode and restart</w:t>
            </w:r>
          </w:p>
        </w:tc>
      </w:tr>
      <w:tr>
        <w:trPr>
          <w:cantSplit/>
        </w:trPr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shd w:fill="EAF3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PRODUCTION_NOT_APPROVED</w:t>
            </w:r>
          </w:p>
        </w:tc>
        <w:tc>
          <w:tcPr>
            <w:tcW w:type="dxa" w:w="3744"/>
            <w:tcMar>
              <w:top w:w="90" w:type="dxa"/>
              <w:start w:w="110" w:type="dxa"/>
              <w:bottom w:w="90" w:type="dxa"/>
              <w:end w:w="110" w:type="dxa"/>
            </w:tcMar>
            <w:shd w:fill="EAF3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NODE_ENV=production</w:t>
            </w:r>
          </w:p>
        </w:tc>
        <w:tc>
          <w:tcPr>
            <w:tcW w:type="dxa" w:w="3456"/>
            <w:tcMar>
              <w:top w:w="90" w:type="dxa"/>
              <w:start w:w="110" w:type="dxa"/>
              <w:bottom w:w="90" w:type="dxa"/>
              <w:end w:w="110" w:type="dxa"/>
            </w:tcMar>
            <w:shd w:fill="EAF3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Return to local/test; production needs a separate release gate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  <w:keepNext/>
        <w:spacing w:before="120" w:after="100" w:line="240" w:lineRule="auto"/>
      </w:pPr>
      <w:r>
        <w:rPr>
          <w:rFonts w:ascii="Arial" w:hAnsi="Arial"/>
          <w:b/>
          <w:i w:val="0"/>
          <w:color w:val="000000"/>
          <w:sz w:val="23"/>
        </w:rPr>
        <w:t>Developer Handoff Checklist</w:t>
      </w:r>
    </w:p>
    <w:p>
      <w:pPr>
        <w:pStyle w:val="ListBullet"/>
        <w:spacing w:before="0" w:after="60" w:line="259" w:lineRule="auto"/>
        <w:ind w:left="331" w:hanging="187"/>
      </w:pPr>
      <w:r>
        <w:rPr>
          <w:rFonts w:ascii="Arial" w:hAnsi="Arial"/>
          <w:b w:val="0"/>
          <w:i w:val="0"/>
          <w:color w:val="000000"/>
          <w:sz w:val="20"/>
        </w:rPr>
        <w:t>Clone the repository and read the source handoff documents before editing.</w:t>
      </w:r>
    </w:p>
    <w:p>
      <w:pPr>
        <w:pStyle w:val="ListBullet"/>
        <w:spacing w:before="0" w:after="60" w:line="259" w:lineRule="auto"/>
        <w:ind w:left="331" w:hanging="187"/>
      </w:pPr>
      <w:r>
        <w:rPr>
          <w:rFonts w:ascii="Arial" w:hAnsi="Arial"/>
          <w:b w:val="0"/>
          <w:i w:val="0"/>
          <w:color w:val="000000"/>
          <w:sz w:val="20"/>
        </w:rPr>
        <w:t>Copy .env.example to .env locally; confirm .env and .local/runtime.json are ignored.</w:t>
      </w:r>
    </w:p>
    <w:p>
      <w:pPr>
        <w:pStyle w:val="ListBullet"/>
        <w:spacing w:before="0" w:after="60" w:line="259" w:lineRule="auto"/>
        <w:ind w:left="331" w:hanging="187"/>
      </w:pPr>
      <w:r>
        <w:rPr>
          <w:rFonts w:ascii="Arial" w:hAnsi="Arial"/>
          <w:b w:val="0"/>
          <w:i w:val="0"/>
          <w:color w:val="000000"/>
          <w:sz w:val="20"/>
        </w:rPr>
        <w:t>Use a dedicated PostgreSQL cluster or explicitly approved test DATABASE_URL.</w:t>
      </w:r>
    </w:p>
    <w:p>
      <w:pPr>
        <w:pStyle w:val="ListBullet"/>
        <w:spacing w:before="0" w:after="60" w:line="259" w:lineRule="auto"/>
        <w:ind w:left="331" w:hanging="187"/>
      </w:pPr>
      <w:r>
        <w:rPr>
          <w:rFonts w:ascii="Arial" w:hAnsi="Arial"/>
          <w:b w:val="0"/>
          <w:i w:val="0"/>
          <w:color w:val="000000"/>
          <w:sz w:val="20"/>
        </w:rPr>
        <w:t>Run npm run db:setup, npm run build and npm test; record exact outcomes.</w:t>
      </w:r>
    </w:p>
    <w:p>
      <w:pPr>
        <w:pStyle w:val="ListBullet"/>
        <w:spacing w:before="0" w:after="60" w:line="259" w:lineRule="auto"/>
        <w:ind w:left="331" w:hanging="187"/>
      </w:pPr>
      <w:r>
        <w:rPr>
          <w:rFonts w:ascii="Arial" w:hAnsi="Arial"/>
          <w:b w:val="0"/>
          <w:i w:val="0"/>
          <w:color w:val="000000"/>
          <w:sz w:val="20"/>
        </w:rPr>
        <w:t>Run workers only with UUIDs belonging to the intended local/test workspace.</w:t>
      </w:r>
    </w:p>
    <w:p>
      <w:pPr>
        <w:pStyle w:val="ListBullet"/>
        <w:spacing w:before="0" w:after="60" w:line="259" w:lineRule="auto"/>
        <w:ind w:left="331" w:hanging="187"/>
      </w:pPr>
      <w:r>
        <w:rPr>
          <w:rFonts w:ascii="Arial" w:hAnsi="Arial"/>
          <w:b w:val="0"/>
          <w:i w:val="0"/>
          <w:color w:val="000000"/>
          <w:sz w:val="20"/>
        </w:rPr>
        <w:t>Redact secrets from screenshots, terminal capture, issues, evidence and commits.</w:t>
      </w:r>
    </w:p>
    <w:p>
      <w:pPr>
        <w:pStyle w:val="ListBullet"/>
        <w:spacing w:before="0" w:after="60" w:line="259" w:lineRule="auto"/>
        <w:ind w:left="331" w:hanging="187"/>
      </w:pPr>
      <w:r>
        <w:rPr>
          <w:rFonts w:ascii="Arial" w:hAnsi="Arial"/>
          <w:b w:val="0"/>
          <w:i w:val="0"/>
          <w:color w:val="000000"/>
          <w:sz w:val="20"/>
        </w:rPr>
        <w:t>Update docs/PROJECT-STATUS.md, docs/HANDOFF.md and delivery/CHECKPOINT.md when configuration or evidence changes.</w:t>
      </w:r>
    </w:p>
    <w:p>
      <w:pPr>
        <w:pStyle w:val="ListBullet"/>
        <w:spacing w:before="0" w:after="60" w:line="259" w:lineRule="auto"/>
        <w:ind w:left="331" w:hanging="187"/>
      </w:pPr>
      <w:r>
        <w:rPr>
          <w:rFonts w:ascii="Arial" w:hAnsi="Arial"/>
          <w:b w:val="0"/>
          <w:i w:val="0"/>
          <w:color w:val="000000"/>
          <w:sz w:val="20"/>
        </w:rPr>
        <w:t>Do not mark a module accepted from a route, component or passing fixture alone.</w:t>
      </w:r>
    </w:p>
    <w:p>
      <w:r>
        <w:br w:type="page"/>
      </w:r>
    </w:p>
    <w:p>
      <w:pPr>
        <w:pStyle w:val="Heading1"/>
        <w:keepNext/>
        <w:spacing w:before="200" w:after="100" w:line="240" w:lineRule="auto"/>
      </w:pPr>
      <w:r>
        <w:rPr>
          <w:rFonts w:ascii="Arial" w:hAnsi="Arial"/>
          <w:b/>
          <w:i w:val="0"/>
          <w:color w:val="000000"/>
          <w:sz w:val="30"/>
        </w:rPr>
        <w:t>12 Open Decisions And Source References</w:t>
      </w:r>
    </w:p>
    <w:p>
      <w:pPr>
        <w:pStyle w:val="Heading2"/>
        <w:keepNext/>
        <w:spacing w:before="120" w:after="100" w:line="240" w:lineRule="auto"/>
      </w:pPr>
      <w:r>
        <w:rPr>
          <w:rFonts w:ascii="Arial" w:hAnsi="Arial"/>
          <w:b/>
          <w:i w:val="0"/>
          <w:color w:val="000000"/>
          <w:sz w:val="23"/>
        </w:rPr>
        <w:t>UNKNOWN / NEEDS VERIFICATION</w:t>
      </w:r>
    </w:p>
    <w:p>
      <w:pPr>
        <w:pStyle w:val="ListBullet"/>
        <w:spacing w:before="0" w:after="60" w:line="259" w:lineRule="auto"/>
        <w:ind w:left="331" w:hanging="187"/>
      </w:pPr>
      <w:r>
        <w:rPr>
          <w:rFonts w:ascii="Arial" w:hAnsi="Arial"/>
          <w:b w:val="0"/>
          <w:i w:val="0"/>
          <w:color w:val="000000"/>
          <w:sz w:val="20"/>
        </w:rPr>
        <w:t>Staging and production hosting, TLS, domain, secret manager, DB topology, worker supervision and CI/CD.</w:t>
      </w:r>
    </w:p>
    <w:p>
      <w:pPr>
        <w:pStyle w:val="ListBullet"/>
        <w:spacing w:before="0" w:after="60" w:line="259" w:lineRule="auto"/>
        <w:ind w:left="331" w:hanging="187"/>
      </w:pPr>
      <w:r>
        <w:rPr>
          <w:rFonts w:ascii="Arial" w:hAnsi="Arial"/>
          <w:b w:val="0"/>
          <w:i w:val="0"/>
          <w:color w:val="000000"/>
          <w:sz w:val="20"/>
        </w:rPr>
        <w:t>Migration and rollback procedure for any database outside the local bootstrap cluster.</w:t>
      </w:r>
    </w:p>
    <w:p>
      <w:pPr>
        <w:pStyle w:val="ListBullet"/>
        <w:spacing w:before="0" w:after="60" w:line="259" w:lineRule="auto"/>
        <w:ind w:left="331" w:hanging="187"/>
      </w:pPr>
      <w:r>
        <w:rPr>
          <w:rFonts w:ascii="Arial" w:hAnsi="Arial"/>
          <w:b w:val="0"/>
          <w:i w:val="0"/>
          <w:color w:val="000000"/>
          <w:sz w:val="20"/>
        </w:rPr>
        <w:t>Live provider receipts, vendor token accounting, pricing and cost ownership for Platform Agent turns.</w:t>
      </w:r>
    </w:p>
    <w:p>
      <w:pPr>
        <w:pStyle w:val="ListBullet"/>
        <w:spacing w:before="0" w:after="60" w:line="259" w:lineRule="auto"/>
        <w:ind w:left="331" w:hanging="187"/>
      </w:pPr>
      <w:r>
        <w:rPr>
          <w:rFonts w:ascii="Arial" w:hAnsi="Arial"/>
          <w:b w:val="0"/>
          <w:i w:val="0"/>
          <w:color w:val="000000"/>
          <w:sz w:val="20"/>
        </w:rPr>
        <w:t>Whether claude_code must launch a separate Claude Code CLI or continue using the Anthropic-compatible transport.</w:t>
      </w:r>
    </w:p>
    <w:p>
      <w:pPr>
        <w:pStyle w:val="ListBullet"/>
        <w:spacing w:before="0" w:after="60" w:line="259" w:lineRule="auto"/>
        <w:ind w:left="331" w:hanging="187"/>
      </w:pPr>
      <w:r>
        <w:rPr>
          <w:rFonts w:ascii="Arial" w:hAnsi="Arial"/>
          <w:b w:val="0"/>
          <w:i w:val="0"/>
          <w:color w:val="000000"/>
          <w:sz w:val="20"/>
        </w:rPr>
        <w:t>Retention, deletion and workspace closure policy before destructive implementation.</w:t>
      </w:r>
    </w:p>
    <w:p>
      <w:pPr>
        <w:pStyle w:val="ListBullet"/>
        <w:spacing w:before="0" w:after="60" w:line="259" w:lineRule="auto"/>
        <w:ind w:left="331" w:hanging="187"/>
      </w:pPr>
      <w:r>
        <w:rPr>
          <w:rFonts w:ascii="Arial" w:hAnsi="Arial"/>
          <w:b w:val="0"/>
          <w:i w:val="0"/>
          <w:color w:val="000000"/>
          <w:sz w:val="20"/>
        </w:rPr>
        <w:t>Full browser parity and acceptance against the HiChat reference screens.</w:t>
      </w:r>
    </w:p>
    <w:p>
      <w:pPr>
        <w:pStyle w:val="Heading2"/>
        <w:keepNext/>
        <w:spacing w:before="120" w:after="100" w:line="240" w:lineRule="auto"/>
      </w:pPr>
      <w:r>
        <w:rPr>
          <w:rFonts w:ascii="Arial" w:hAnsi="Arial"/>
          <w:b/>
          <w:i w:val="0"/>
          <w:color w:val="000000"/>
          <w:sz w:val="23"/>
        </w:rPr>
        <w:t>Repository Files To Read Next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3456"/>
            <w:tcMar>
              <w:top w:w="90" w:type="dxa"/>
              <w:start w:w="110" w:type="dxa"/>
              <w:bottom w:w="90" w:type="dxa"/>
              <w:end w:w="110" w:type="dxa"/>
            </w:tcMar>
            <w:shd w:fill="0A1A4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File</w:t>
            </w:r>
          </w:p>
        </w:tc>
        <w:tc>
          <w:tcPr>
            <w:tcW w:type="dxa" w:w="7056"/>
            <w:tcMar>
              <w:top w:w="90" w:type="dxa"/>
              <w:start w:w="110" w:type="dxa"/>
              <w:bottom w:w="90" w:type="dxa"/>
              <w:end w:w="110" w:type="dxa"/>
            </w:tcMar>
            <w:shd w:fill="0A1A4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Why it matters</w:t>
            </w:r>
          </w:p>
        </w:tc>
      </w:tr>
      <w:tr>
        <w:trPr>
          <w:cantSplit/>
        </w:trPr>
        <w:tc>
          <w:tcPr>
            <w:tcW w:type="dxa" w:w="3456"/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README.md</w:t>
            </w:r>
          </w:p>
        </w:tc>
        <w:tc>
          <w:tcPr>
            <w:tcW w:type="dxa" w:w="7056"/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Product overview, visual references, current status and end-to-end flow</w:t>
            </w:r>
          </w:p>
        </w:tc>
      </w:tr>
      <w:tr>
        <w:trPr>
          <w:cantSplit/>
        </w:trPr>
        <w:tc>
          <w:tcPr>
            <w:tcW w:type="dxa" w:w="3456"/>
            <w:tcMar>
              <w:top w:w="90" w:type="dxa"/>
              <w:start w:w="110" w:type="dxa"/>
              <w:bottom w:w="90" w:type="dxa"/>
              <w:end w:w="110" w:type="dxa"/>
            </w:tcMar>
            <w:shd w:fill="EAF3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docs/ENVIRONMENT.md</w:t>
            </w:r>
          </w:p>
        </w:tc>
        <w:tc>
          <w:tcPr>
            <w:tcW w:type="dxa" w:w="7056"/>
            <w:tcMar>
              <w:top w:w="90" w:type="dxa"/>
              <w:start w:w="110" w:type="dxa"/>
              <w:bottom w:w="90" w:type="dxa"/>
              <w:end w:w="110" w:type="dxa"/>
            </w:tcMar>
            <w:shd w:fill="EAF3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Shorter Markdown version of this configuration guide</w:t>
            </w:r>
          </w:p>
        </w:tc>
      </w:tr>
      <w:tr>
        <w:trPr>
          <w:cantSplit/>
        </w:trPr>
        <w:tc>
          <w:tcPr>
            <w:tcW w:type="dxa" w:w="3456"/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docs/DATABASE.md</w:t>
            </w:r>
          </w:p>
        </w:tc>
        <w:tc>
          <w:tcPr>
            <w:tcW w:type="dxa" w:w="7056"/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Database relationships, invariants and table index</w:t>
            </w:r>
          </w:p>
        </w:tc>
      </w:tr>
      <w:tr>
        <w:trPr>
          <w:cantSplit/>
        </w:trPr>
        <w:tc>
          <w:tcPr>
            <w:tcW w:type="dxa" w:w="3456"/>
            <w:tcMar>
              <w:top w:w="90" w:type="dxa"/>
              <w:start w:w="110" w:type="dxa"/>
              <w:bottom w:w="90" w:type="dxa"/>
              <w:end w:w="110" w:type="dxa"/>
            </w:tcMar>
            <w:shd w:fill="EAF3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docs/DEVELOPMENT.md</w:t>
            </w:r>
          </w:p>
        </w:tc>
        <w:tc>
          <w:tcPr>
            <w:tcW w:type="dxa" w:w="7056"/>
            <w:tcMar>
              <w:top w:w="90" w:type="dxa"/>
              <w:start w:w="110" w:type="dxa"/>
              <w:bottom w:w="90" w:type="dxa"/>
              <w:end w:w="110" w:type="dxa"/>
            </w:tcMar>
            <w:shd w:fill="EAF3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Local prerequisites and command-level setup</w:t>
            </w:r>
          </w:p>
        </w:tc>
      </w:tr>
      <w:tr>
        <w:trPr>
          <w:cantSplit/>
        </w:trPr>
        <w:tc>
          <w:tcPr>
            <w:tcW w:type="dxa" w:w="3456"/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docs/ARCHITECTURE.md</w:t>
            </w:r>
          </w:p>
        </w:tc>
        <w:tc>
          <w:tcPr>
            <w:tcW w:type="dxa" w:w="7056"/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Runtime boundaries, auth, tenant scope and AI flow</w:t>
            </w:r>
          </w:p>
        </w:tc>
      </w:tr>
      <w:tr>
        <w:trPr>
          <w:cantSplit/>
        </w:trPr>
        <w:tc>
          <w:tcPr>
            <w:tcW w:type="dxa" w:w="3456"/>
            <w:tcMar>
              <w:top w:w="90" w:type="dxa"/>
              <w:start w:w="110" w:type="dxa"/>
              <w:bottom w:w="90" w:type="dxa"/>
              <w:end w:w="110" w:type="dxa"/>
            </w:tcMar>
            <w:shd w:fill="EAF3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docs/PROJECT-STATUS.md</w:t>
            </w:r>
          </w:p>
        </w:tc>
        <w:tc>
          <w:tcPr>
            <w:tcW w:type="dxa" w:w="7056"/>
            <w:tcMar>
              <w:top w:w="90" w:type="dxa"/>
              <w:start w:w="110" w:type="dxa"/>
              <w:bottom w:w="90" w:type="dxa"/>
              <w:end w:w="110" w:type="dxa"/>
            </w:tcMar>
            <w:shd w:fill="EAF3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Evidence-based DONE, IN PROGRESS, TODO and unknown status</w:t>
            </w:r>
          </w:p>
        </w:tc>
      </w:tr>
      <w:tr>
        <w:trPr>
          <w:cantSplit/>
        </w:trPr>
        <w:tc>
          <w:tcPr>
            <w:tcW w:type="dxa" w:w="3456"/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docs/HANDOFF.md</w:t>
            </w:r>
          </w:p>
        </w:tc>
        <w:tc>
          <w:tcPr>
            <w:tcW w:type="dxa" w:w="7056"/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Exact next task and things not to break</w:t>
            </w:r>
          </w:p>
        </w:tc>
      </w:tr>
      <w:tr>
        <w:trPr>
          <w:cantSplit/>
        </w:trPr>
        <w:tc>
          <w:tcPr>
            <w:tcW w:type="dxa" w:w="3456"/>
            <w:tcMar>
              <w:top w:w="90" w:type="dxa"/>
              <w:start w:w="110" w:type="dxa"/>
              <w:bottom w:w="90" w:type="dxa"/>
              <w:end w:w="110" w:type="dxa"/>
            </w:tcMar>
            <w:shd w:fill="EAF3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delivery/CHECKPOINT.md</w:t>
            </w:r>
          </w:p>
        </w:tc>
        <w:tc>
          <w:tcPr>
            <w:tcW w:type="dxa" w:w="7056"/>
            <w:tcMar>
              <w:top w:w="90" w:type="dxa"/>
              <w:start w:w="110" w:type="dxa"/>
              <w:bottom w:w="90" w:type="dxa"/>
              <w:end w:w="110" w:type="dxa"/>
            </w:tcMar>
            <w:shd w:fill="EAF3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Chronological evidence and checkpoint log</w:t>
            </w:r>
          </w:p>
        </w:tc>
      </w:tr>
      <w:tr>
        <w:trPr>
          <w:cantSplit/>
        </w:trPr>
        <w:tc>
          <w:tcPr>
            <w:tcW w:type="dxa" w:w="3456"/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.env.example</w:t>
            </w:r>
          </w:p>
        </w:tc>
        <w:tc>
          <w:tcPr>
            <w:tcW w:type="dxa" w:w="7056"/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Tracked placeholder template; never fill with real secrets in Git</w:t>
            </w:r>
          </w:p>
        </w:tc>
      </w:tr>
      <w:tr>
        <w:trPr>
          <w:cantSplit/>
        </w:trPr>
        <w:tc>
          <w:tcPr>
            <w:tcW w:type="dxa" w:w="3456"/>
            <w:tcMar>
              <w:top w:w="90" w:type="dxa"/>
              <w:start w:w="110" w:type="dxa"/>
              <w:bottom w:w="90" w:type="dxa"/>
              <w:end w:w="110" w:type="dxa"/>
            </w:tcMar>
            <w:shd w:fill="EAF3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db/migrations/*.sql</w:t>
            </w:r>
          </w:p>
        </w:tc>
        <w:tc>
          <w:tcPr>
            <w:tcW w:type="dxa" w:w="7056"/>
            <w:tcMar>
              <w:top w:w="90" w:type="dxa"/>
              <w:start w:w="110" w:type="dxa"/>
              <w:bottom w:w="90" w:type="dxa"/>
              <w:end w:w="110" w:type="dxa"/>
            </w:tcMar>
            <w:shd w:fill="EAF3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Schema source of truth</w:t>
            </w:r>
          </w:p>
        </w:tc>
      </w:tr>
      <w:tr>
        <w:trPr>
          <w:cantSplit/>
        </w:trPr>
        <w:tc>
          <w:tcPr>
            <w:tcW w:type="dxa" w:w="3456"/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scripts/setup-db.ts</w:t>
            </w:r>
          </w:p>
        </w:tc>
        <w:tc>
          <w:tcPr>
            <w:tcW w:type="dxa" w:w="7056"/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Local role/database/migration bootstrap</w:t>
            </w:r>
          </w:p>
        </w:tc>
      </w:tr>
      <w:tr>
        <w:trPr>
          <w:cantSplit/>
        </w:trPr>
        <w:tc>
          <w:tcPr>
            <w:tcW w:type="dxa" w:w="3456"/>
            <w:tcMar>
              <w:top w:w="90" w:type="dxa"/>
              <w:start w:w="110" w:type="dxa"/>
              <w:bottom w:w="90" w:type="dxa"/>
              <w:end w:w="110" w:type="dxa"/>
            </w:tcMar>
            <w:shd w:fill="EAF3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scripts/restore-drill.ts</w:t>
            </w:r>
          </w:p>
        </w:tc>
        <w:tc>
          <w:tcPr>
            <w:tcW w:type="dxa" w:w="7056"/>
            <w:tcMar>
              <w:top w:w="90" w:type="dxa"/>
              <w:start w:w="110" w:type="dxa"/>
              <w:bottom w:w="90" w:type="dxa"/>
              <w:end w:w="110" w:type="dxa"/>
            </w:tcMar>
            <w:shd w:fill="EAF3FF" w:val="clea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Disposable backup/restore and quarantine drill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20" w:after="100" w:line="240" w:lineRule="auto"/>
      </w:pPr>
      <w:r>
        <w:rPr>
          <w:rFonts w:ascii="Arial" w:hAnsi="Arial"/>
          <w:b/>
          <w:i w:val="0"/>
          <w:color w:val="000000"/>
          <w:sz w:val="23"/>
        </w:rPr>
        <w:t>Final Rule</w:t>
      </w:r>
    </w:p>
    <w:p>
      <w:pPr>
        <w:spacing w:before="0" w:after="120" w:line="259" w:lineRule="auto"/>
      </w:pPr>
      <w:r>
        <w:rPr>
          <w:rFonts w:ascii="Arial" w:hAnsi="Arial"/>
          <w:b w:val="0"/>
          <w:i w:val="0"/>
          <w:color w:val="000000"/>
          <w:sz w:val="20"/>
        </w:rPr>
        <w:t>Keep configuration, database changes, tests and evidence synchronized. If a detail is not proven by the current source, a test receipt or an approved decision, write UNKNOWN / NEEDS VERIFICATION and leave the unfinished work visible for the next developer.</w:t>
      </w:r>
    </w:p>
    <w:p>
      <w:pPr>
        <w:spacing w:before="160" w:after="0" w:line="259" w:lineRule="auto"/>
      </w:pPr>
      <w:r>
        <w:rPr>
          <w:rFonts w:ascii="Arial" w:hAnsi="Arial"/>
          <w:b/>
          <w:i w:val="0"/>
          <w:color w:val="000000"/>
          <w:sz w:val="20"/>
        </w:rPr>
        <w:t xml:space="preserve">Repository: </w:t>
      </w:r>
      <w:hyperlink r:id="rId11">
        <w:r>
          <w:rPr>
            <w:color w:val="0057E1"/>
            <w:u w:val="single"/>
          </w:rPr>
          <w:t>GoTekIT/GoTek-ChatBOT</w:t>
        </w:r>
      </w:hyperlink>
    </w:p>
    <w:sectPr w:rsidR="00FC693F" w:rsidRPr="0006063C" w:rsidSect="00034616">
      <w:footerReference w:type="default" r:id="rId9"/>
      <w:pgSz w:w="12240" w:h="15840"/>
      <w:pgMar w:top="1037" w:right="1123" w:bottom="936" w:left="1123" w:header="403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Arial" w:hAnsi="Arial"/>
        <w:b w:val="0"/>
        <w:i w:val="0"/>
        <w:color w:val="4A5568"/>
        <w:sz w:val="16"/>
      </w:rPr>
      <w:t>GoTek Chatbot | Environment and Database Handoff | 28 September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hyperlink" Target="https://github.com/GoTekIT/GoTek-ChatB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GoTek Chatbot Environment And Database Handoff</dc:title>
  <dc:subject>Local test environment, PostgreSQL and developer handoff</dc:subject>
  <dc:creator>GoTek Chatbot Delivery</dc:creator>
  <cp:keywords>GoTek, Chatbot, environment, PostgreSQL, database, handoff</cp:keywords>
  <dc:description>Source-grounded developer handoff. No secrets included.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