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4E79"/>
          <w:sz w:val="32"/>
          <w:szCs w:val="32"/>
        </w:rPr>
        <w:t xml:space="preserve">Project memo — Income_LogReg</w:t>
      </w:r>
    </w:p>
    <w:p>
      <w:pPr>
        <w:spacing w:after="80" w:before="0" w:line="240"/>
      </w:pPr>
      <w:r>
        <w:rPr>
          <w:rFonts w:ascii="Arial" w:cs="Arial" w:eastAsia="Arial" w:hAnsi="Arial"/>
          <w:b w:val="false"/>
          <w:bCs w:val="false"/>
          <w:i w:val="false"/>
          <w:iCs w:val="false"/>
          <w:color w:val="555555"/>
          <w:sz w:val="18"/>
          <w:szCs w:val="18"/>
        </w:rPr>
        <w:t xml:space="preserve">To: teaching / analytics lead    From: project desk    Re: how to talk about the Adult income classifier</w:t>
      </w:r>
    </w:p>
    <w:p>
      <w:pPr>
        <w:spacing w:after="80" w:before="0" w:line="240"/>
      </w:pPr>
      <w:r>
        <w:rPr>
          <w:rFonts w:ascii="Arial" w:cs="Arial" w:eastAsia="Arial" w:hAnsi="Arial"/>
          <w:b w:val="false"/>
          <w:bCs w:val="false"/>
          <w:i w:val="false"/>
          <w:iCs w:val="false"/>
          <w:color w:val="222222"/>
          <w:sz w:val="20"/>
          <w:szCs w:val="20"/>
        </w:rPr>
        <w:t xml:space="preserve">Sources: Jočys, “What to Consider When Considering the Audience” (data literacy, subject knowledge) and McMurrey, Audience and Situation Analysis (expert / technician / executive / nonspecialist). Report shape follows the attached data-analysis paper structure: headlines in the introduction, evidence in the body, process in an appendix.</w:t>
      </w:r>
    </w:p>
    <w:p>
      <w:pPr>
        <w:pStyle w:val="Heading1"/>
        <w:spacing w:after="80" w:before="160"/>
      </w:pPr>
      <w:r>
        <w:rPr>
          <w:rFonts w:ascii="Arial" w:cs="Arial" w:eastAsia="Arial" w:hAnsi="Arial"/>
          <w:b/>
          <w:bCs/>
          <w:color w:val="1F4E79"/>
          <w:sz w:val="26"/>
          <w:szCs w:val="26"/>
        </w:rPr>
        <w:t xml:space="preserve">The one finding we rewrite</w:t>
      </w:r>
    </w:p>
    <w:p>
      <w:pPr>
        <w:spacing w:after="80" w:before="0" w:line="240"/>
      </w:pPr>
      <w:r>
        <w:rPr>
          <w:rFonts w:ascii="Arial" w:cs="Arial" w:eastAsia="Arial" w:hAnsi="Arial"/>
          <w:b w:val="false"/>
          <w:bCs w:val="false"/>
          <w:i w:val="false"/>
          <w:iCs w:val="false"/>
          <w:color w:val="222222"/>
          <w:sz w:val="20"/>
          <w:szCs w:val="20"/>
        </w:rPr>
        <w:t xml:space="preserve">Unscaled L1 logistic regression on age, capital flows, hours, sex, race and education reaches test accuracy ≈ 0.83 and AUC ≈ 0.85, but recall of &gt;$50K at t = 0.5 is only ≈ 0.41.</w:t>
      </w:r>
    </w:p>
    <w:p>
      <w:pPr>
        <w:pStyle w:val="Heading1"/>
        <w:spacing w:after="80" w:before="160"/>
      </w:pPr>
      <w:r>
        <w:rPr>
          <w:rFonts w:ascii="Arial" w:cs="Arial" w:eastAsia="Arial" w:hAnsi="Arial"/>
          <w:b/>
          <w:bCs/>
          <w:color w:val="1F4E79"/>
          <w:sz w:val="26"/>
          <w:szCs w:val="26"/>
        </w:rPr>
        <w:t xml:space="preserve">Expert  (labor economist / data scientist)</w:t>
      </w:r>
    </w:p>
    <w:p>
      <w:pPr>
        <w:spacing w:after="80" w:before="0" w:line="240"/>
      </w:pPr>
      <w:r>
        <w:rPr>
          <w:rFonts w:ascii="Arial" w:cs="Arial" w:eastAsia="Arial" w:hAnsi="Arial"/>
          <w:b w:val="false"/>
          <w:bCs w:val="false"/>
          <w:i w:val="false"/>
          <w:iCs w:val="false"/>
          <w:color w:val="222222"/>
          <w:sz w:val="20"/>
          <w:szCs w:val="20"/>
        </w:rPr>
        <w:t xml:space="preserve">High data literacy, high subject knowledge. Skip the definition of a dummy variable. Lead with the likelihood, the L1 constraint, the 10-EPV budget after dummy explosion, and the fact that sex/race coefficients are not identification strategies. Mention that capital-gain is a rare, heavy-tailed transfer and that unscaled L1 therefore under-penalizes it relative to 0/1 dummies. Offer the scaled pipeline and a marital-status specification as robustness, not as “improvements.”</w:t>
      </w:r>
    </w:p>
    <w:p>
      <w:pPr>
        <w:pStyle w:val="Heading1"/>
        <w:spacing w:after="80" w:before="160"/>
      </w:pPr>
      <w:r>
        <w:rPr>
          <w:rFonts w:ascii="Arial" w:cs="Arial" w:eastAsia="Arial" w:hAnsi="Arial"/>
          <w:b/>
          <w:bCs/>
          <w:color w:val="1F4E79"/>
          <w:sz w:val="26"/>
          <w:szCs w:val="26"/>
        </w:rPr>
        <w:t xml:space="preserve">Technician  (analyst implementing the scorecard)</w:t>
      </w:r>
    </w:p>
    <w:p>
      <w:pPr>
        <w:spacing w:after="80" w:before="0" w:line="240"/>
      </w:pPr>
      <w:r>
        <w:rPr>
          <w:rFonts w:ascii="Arial" w:cs="Arial" w:eastAsia="Arial" w:hAnsi="Arial"/>
          <w:b w:val="false"/>
          <w:bCs w:val="false"/>
          <w:i w:val="false"/>
          <w:iCs w:val="false"/>
          <w:color w:val="222222"/>
          <w:sz w:val="20"/>
          <w:szCs w:val="20"/>
        </w:rPr>
        <w:t xml:space="preserve">High practical literacy, mixed theory. They need the exact call signature, the duplicate-column trap, the float cast on bool dummies, the sklearn 1.8 penalty deprecation, and where the artifacts live (coef table, CM, ROC PNG). Give them the reusable template and the threshold helper. Do not debate causality in this paragraph.</w:t>
      </w:r>
    </w:p>
    <w:p>
      <w:pPr>
        <w:pStyle w:val="Heading1"/>
        <w:spacing w:after="80" w:before="160"/>
      </w:pPr>
      <w:r>
        <w:rPr>
          <w:rFonts w:ascii="Arial" w:cs="Arial" w:eastAsia="Arial" w:hAnsi="Arial"/>
          <w:b/>
          <w:bCs/>
          <w:color w:val="1F4E79"/>
          <w:sz w:val="26"/>
          <w:szCs w:val="26"/>
        </w:rPr>
        <w:t xml:space="preserve">Executive  (HR / product / policy)</w:t>
      </w:r>
    </w:p>
    <w:p>
      <w:pPr>
        <w:spacing w:after="80" w:before="0" w:line="240"/>
      </w:pPr>
      <w:r>
        <w:rPr>
          <w:rFonts w:ascii="Arial" w:cs="Arial" w:eastAsia="Arial" w:hAnsi="Arial"/>
          <w:b w:val="false"/>
          <w:bCs w:val="false"/>
          <w:i w:val="false"/>
          <w:iCs w:val="false"/>
          <w:color w:val="222222"/>
          <w:sz w:val="20"/>
          <w:szCs w:val="20"/>
        </w:rPr>
        <w:t xml:space="preserve">Low appetite for solvers. One sentence on what the model is for, one on how good the ranking is (AUC 0.85), one on the operational miss rate at the default cutoff (we catch about two in five high earners), one on what moves the score (education and hours), and one on what this is not (not 2026 wages, not a hiring rule, not a causal gender gap). Put the confusion matrix in an appendix.</w:t>
      </w:r>
    </w:p>
    <w:p>
      <w:pPr>
        <w:pStyle w:val="Heading1"/>
        <w:spacing w:after="80" w:before="160"/>
      </w:pPr>
      <w:r>
        <w:rPr>
          <w:rFonts w:ascii="Arial" w:cs="Arial" w:eastAsia="Arial" w:hAnsi="Arial"/>
          <w:b/>
          <w:bCs/>
          <w:color w:val="1F4E79"/>
          <w:sz w:val="26"/>
          <w:szCs w:val="26"/>
        </w:rPr>
        <w:t xml:space="preserve">Nonspecialist  (student, journalist, public)</w:t>
      </w:r>
    </w:p>
    <w:p>
      <w:pPr>
        <w:spacing w:after="80" w:before="0" w:line="240"/>
      </w:pPr>
      <w:r>
        <w:rPr>
          <w:rFonts w:ascii="Arial" w:cs="Arial" w:eastAsia="Arial" w:hAnsi="Arial"/>
          <w:b w:val="false"/>
          <w:bCs w:val="false"/>
          <w:i w:val="false"/>
          <w:iCs w:val="false"/>
          <w:color w:val="222222"/>
          <w:sz w:val="20"/>
          <w:szCs w:val="20"/>
        </w:rPr>
        <w:t xml:space="preserve">Low data literacy on ROC. Use bars and a single analogy: most people in the 1994 file earned $50k or less, so a cautious model that usually says “probably not” looks accurate while still missing many of the people who did earn more. Schooling past high school is the clearest plus. Avoid “log-odds,” “L1,” and “drop_first.”</w:t>
      </w:r>
    </w:p>
    <w:p>
      <w:pPr>
        <w:pStyle w:val="Heading1"/>
        <w:spacing w:after="80" w:before="160"/>
      </w:pPr>
      <w:r>
        <w:rPr>
          <w:rFonts w:ascii="Arial" w:cs="Arial" w:eastAsia="Arial" w:hAnsi="Arial"/>
          <w:b/>
          <w:bCs/>
          <w:color w:val="1F4E79"/>
          <w:sz w:val="26"/>
          <w:szCs w:val="26"/>
        </w:rPr>
        <w:t xml:space="preserve">Situation notes</w:t>
      </w:r>
    </w:p>
    <w:p>
      <w:pPr>
        <w:pStyle w:val="ListParagraph"/>
        <w:numPr>
          <w:ilvl w:val="0"/>
          <w:numId w:val="2"/>
        </w:numPr>
        <w:spacing w:after="40"/>
      </w:pPr>
      <w:r>
        <w:rPr>
          <w:rFonts w:ascii="Arial" w:cs="Arial" w:eastAsia="Arial" w:hAnsi="Arial"/>
          <w:color w:val="222222"/>
          <w:sz w:val="20"/>
          <w:szCs w:val="20"/>
        </w:rPr>
        <w:t xml:space="preserve">Mixed audience documents: headings that say who each block is for, as McMurrey recommends.</w:t>
      </w:r>
    </w:p>
    <w:p>
      <w:pPr>
        <w:pStyle w:val="ListParagraph"/>
        <w:numPr>
          <w:ilvl w:val="0"/>
          <w:numId w:val="2"/>
        </w:numPr>
        <w:spacing w:after="40"/>
      </w:pPr>
      <w:r>
        <w:rPr>
          <w:rFonts w:ascii="Arial" w:cs="Arial" w:eastAsia="Arial" w:hAnsi="Arial"/>
          <w:color w:val="222222"/>
          <w:sz w:val="20"/>
          <w:szCs w:val="20"/>
        </w:rPr>
        <w:t xml:space="preserve">Subject-knowledge gap: explain $50K in 1994 dollars if the reader is current-day (roughly low-six-figures today, order-of-magnitude only).</w:t>
      </w:r>
    </w:p>
    <w:p>
      <w:pPr>
        <w:pStyle w:val="ListParagraph"/>
        <w:numPr>
          <w:ilvl w:val="0"/>
          <w:numId w:val="2"/>
        </w:numPr>
        <w:spacing w:after="40"/>
      </w:pPr>
      <w:r>
        <w:rPr>
          <w:rFonts w:ascii="Arial" w:cs="Arial" w:eastAsia="Arial" w:hAnsi="Arial"/>
          <w:color w:val="222222"/>
          <w:sz w:val="20"/>
          <w:szCs w:val="20"/>
        </w:rPr>
        <w:t xml:space="preserve">Protected attributes: flag sex and race in every external-facing paragraph.</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Income_LogReg  ·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pPr>
    <w:r>
      <w:rPr>
        <w:rFonts w:ascii="Arial" w:cs="Arial" w:eastAsia="Arial" w:hAnsi="Arial"/>
        <w:b w:val="false"/>
        <w:bCs w:val="false"/>
        <w:i w:val="false"/>
        <w:iCs w:val="false"/>
        <w:color w:val="666666"/>
        <w:sz w:val="16"/>
        <w:szCs w:val="16"/>
      </w:rPr>
      <w:t xml:space="preserve">Income_LogReg project memo  ·  audience adaptation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360" w:hanging="180"/>
      </w:pPr>
    </w:lvl>
  </w:abstractNum>
  <w:abstractNum w:abstractNumId="4" w15:restartNumberingAfterBreak="0">
    <w:multiLevelType w:val="hybridMultilevel"/>
    <w:lvl w:ilvl="0" w15:tentative="1">
      <w:start w:val="1"/>
      <w:numFmt w:val="decimal"/>
      <w:lvlText w:val="%1."/>
      <w:lvlJc w:val="left"/>
      <w:pPr>
        <w:ind w:left="360" w:hanging="180"/>
      </w:pPr>
    </w:lvl>
  </w:abstractNum>
  <w:abstractNum w:abstractNumId="5"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2026-08-29T03:51:14.780Z</dcterms:created>
  <dcterms:modified xsi:type="dcterms:W3CDTF">2026-08-29T03:51:14.780Z</dcterms:modified>
</cp:coreProperties>
</file>

<file path=docProps/custom.xml><?xml version="1.0" encoding="utf-8"?>
<Properties xmlns="http://schemas.openxmlformats.org/officeDocument/2006/custom-properties" xmlns:vt="http://schemas.openxmlformats.org/officeDocument/2006/docPropsVTypes"/>
</file>