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Banking Logistic Regression – Cheat Sheet</w:t>
      </w:r>
    </w:p>
    <w:p>
      <w:pPr>
        <w:spacing w:after="80"/>
      </w:pPr>
      <w:r>
        <w:rPr>
          <w:i/>
          <w:iCs/>
          <w:sz w:val="18"/>
          <w:szCs w:val="18"/>
        </w:rPr>
        <w:t xml:space="preserve">Credit Risk / Loan Underwriting adaptation of the classic logistic-regression lab. Keep this sheet open while working the Practice Skeleton.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1. Core Formulas (Banking interpretation)</w:t>
      </w:r>
    </w:p>
    <w:p>
      <w:r>
        <w:rPr>
          <w:sz w:val="18"/>
          <w:szCs w:val="18"/>
        </w:rPr>
        <w:t xml:space="preserve">Sigmoid:   g(z) = 1/(1+exp(−z))     →  P(Approve) or P(Low Risk)</w:t>
      </w:r>
    </w:p>
    <w:p>
      <w:r>
        <w:rPr>
          <w:sz w:val="18"/>
          <w:szCs w:val="18"/>
        </w:rPr>
        <w:t xml:space="preserve">Model:     f = g(w·x + b)           →  probability of positive class</w:t>
      </w:r>
    </w:p>
    <w:p>
      <w:r>
        <w:rPr>
          <w:sz w:val="18"/>
          <w:szCs w:val="18"/>
        </w:rPr>
        <w:t xml:space="preserve">Cost:      Binary cross-entropy of predicted vs actual decisions (+ λ term)</w:t>
      </w:r>
    </w:p>
    <w:p>
      <w:r>
        <w:rPr>
          <w:sz w:val="18"/>
          <w:szCs w:val="18"/>
        </w:rPr>
        <w:t xml:space="preserve">Gradients: ∂J/∂b = mean(f−y)    ∂J/∂w = (Xᵀ(f−y))/m + (λ/m)w</w:t>
      </w:r>
    </w:p>
    <w:p>
      <w:pPr>
        <w:spacing w:after="100"/>
      </w:pPr>
      <w:r>
        <w:rPr>
          <w:sz w:val="18"/>
          <w:szCs w:val="18"/>
        </w:rPr>
        <w:t xml:space="preserve">Update:    w := w − α ∂J/∂w ,   b := b − α ∂J/∂b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2. NumPy One-liners</w:t>
      </w:r>
    </w:p>
    <w:p>
      <w:r>
        <w:rPr>
          <w:rFonts w:ascii="Consolas" w:cs="Consolas" w:eastAsia="Consolas" w:hAnsi="Consolas"/>
          <w:sz w:val="17"/>
          <w:szCs w:val="17"/>
        </w:rPr>
        <w:t xml:space="preserve">sigmoid(z)   = 1/(1+np.exp(-np.clip(z,-500,500)))</w:t>
      </w:r>
    </w:p>
    <w:p>
      <w:r>
        <w:rPr>
          <w:rFonts w:ascii="Consolas" w:cs="Consolas" w:eastAsia="Consolas" w:hAnsi="Consolas"/>
          <w:sz w:val="17"/>
          <w:szCs w:val="17"/>
        </w:rPr>
        <w:t xml:space="preserve">f = sigmoid(X @ w + b)</w:t>
      </w:r>
    </w:p>
    <w:p>
      <w:r>
        <w:rPr>
          <w:rFonts w:ascii="Consolas" w:cs="Consolas" w:eastAsia="Consolas" w:hAnsi="Consolas"/>
          <w:sz w:val="17"/>
          <w:szCs w:val="17"/>
        </w:rPr>
        <w:t xml:space="preserve">cost = -np.mean(y*np.log(f)+(1-y)*np.log(1-f)) + (λ/(2*m))*np.sum(w**2)</w:t>
      </w:r>
    </w:p>
    <w:p>
      <w:r>
        <w:rPr>
          <w:rFonts w:ascii="Consolas" w:cs="Consolas" w:eastAsia="Consolas" w:hAnsi="Consolas"/>
          <w:sz w:val="17"/>
          <w:szCs w:val="17"/>
        </w:rPr>
        <w:t xml:space="preserve">dj_dw = (X.T @ (f-y))/m + (λ/m)*w ;  dj_db = np.mean(f-y)</w:t>
      </w:r>
    </w:p>
    <w:p>
      <w:pPr>
        <w:spacing w:after="100"/>
      </w:pPr>
      <w:r>
        <w:rPr>
          <w:rFonts w:ascii="Consolas" w:cs="Consolas" w:eastAsia="Consolas" w:hAnsi="Consolas"/>
          <w:sz w:val="17"/>
          <w:szCs w:val="17"/>
        </w:rPr>
        <w:t xml:space="preserve">predict = (f &gt;= threshold).astype(int)   # threshold = risk appetite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3. Banking-Specific Notes</w:t>
      </w:r>
    </w:p>
    <w:p>
      <w:r>
        <w:rPr>
          <w:sz w:val="18"/>
          <w:szCs w:val="18"/>
        </w:rPr>
        <w:t xml:space="preserve">• Threshold is a policy lever, not a statistical parameter. Lower threshold → higher approval volume / higher risk.</w:t>
      </w:r>
    </w:p>
    <w:p>
      <w:r>
        <w:rPr>
          <w:sz w:val="18"/>
          <w:szCs w:val="18"/>
        </w:rPr>
        <w:t xml:space="preserve">• λ controls boundary smoothness. Higher λ = more conservative, less over-fit to historic noise.</w:t>
      </w:r>
    </w:p>
    <w:p>
      <w:r>
        <w:rPr>
          <w:sz w:val="18"/>
          <w:szCs w:val="18"/>
        </w:rPr>
        <w:t xml:space="preserve">• Feature mapping (degree 6) lets a linear classifier capture non-linear risk regions common in complex products.</w:t>
      </w:r>
    </w:p>
    <w:p>
      <w:pPr>
        <w:spacing w:after="100"/>
      </w:pPr>
      <w:r>
        <w:rPr>
          <w:sz w:val="18"/>
          <w:szCs w:val="18"/>
        </w:rPr>
        <w:t xml:space="preserve">• Always plot the decision boundary — regulators and Risk Committees expect visual evidence of the policy.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4. Typical Hyper-parameters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Loan Approval (linear)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Complex Risk (reg)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α (learning rate)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0.001 (many iters)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λ (regularization)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0.01 – 1.0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Iterations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50k–100k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8k–10k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Expected Acc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~90–92 %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~80–83 % (λ=1)</w:t>
            </w:r>
          </w:p>
        </w:tc>
      </w:tr>
    </w:tbl>
    <w:p>
      <w:pPr>
        <w:pStyle w:val="Heading2"/>
        <w:spacing w:before="120"/>
      </w:pPr>
      <w:r>
        <w:rPr>
          <w:b/>
          <w:bCs/>
          <w:sz w:val="22"/>
          <w:szCs w:val="22"/>
        </w:rPr>
        <w:t xml:space="preserve">5. Audience Quick Guide</w:t>
      </w:r>
    </w:p>
    <w:p>
      <w:r>
        <w:rPr>
          <w:sz w:val="18"/>
          <w:szCs w:val="18"/>
        </w:rPr>
        <w:t xml:space="preserve">• Credit Risk / Model Validation → cost curves, gradients, λ sensitivity, residual diagnostics.</w:t>
      </w:r>
    </w:p>
    <w:p>
      <w:r>
        <w:rPr>
          <w:sz w:val="18"/>
          <w:szCs w:val="18"/>
        </w:rPr>
        <w:t xml:space="preserve">• Underwriting managers → decision-boundary plots + practical meaning of the threshold.</w:t>
      </w:r>
    </w:p>
    <w:p>
      <w:r>
        <w:rPr>
          <w:sz w:val="18"/>
          <w:szCs w:val="18"/>
        </w:rPr>
        <w:t xml:space="preserve">• Risk Committee / Executives → one chart + one sentence on volume-versus-risk trade-off.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2026-08-25T01:21:56.741Z</dcterms:created>
  <dcterms:modified xsi:type="dcterms:W3CDTF">2026-08-25T01:21:56.742Z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