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sz w:val="24"/>
          <w:szCs w:val="24"/>
        </w:rPr>
        <w:t xml:space="preserve">Banking Logistic Regression (Loan Approval + Complex Risk) – 1-Page Summary</w:t>
      </w:r>
    </w:p>
    <w:p>
      <w:pPr>
        <w:pStyle w:val="Heading2"/>
        <w:spacing w:after="40" w:before="40"/>
      </w:pPr>
      <w:r>
        <w:rPr>
          <w:b/>
          <w:bCs/>
          <w:sz w:val="20"/>
          <w:szCs w:val="20"/>
        </w:rPr>
        <w:t xml:space="preserve">Problem Statement</w:t>
      </w:r>
    </w:p>
    <w:p>
      <w:pPr>
        <w:spacing w:after="60"/>
      </w:pPr>
      <w:r>
        <w:rPr>
          <w:sz w:val="17"/>
          <w:szCs w:val="17"/>
        </w:rPr>
        <w:t xml:space="preserve">A regional bank needs transparent, auditable models that turn underwriting features into approve/decline decisions. Two classic settings are addressed: (1) personal-loan approval based on a Credit-Score proxy and a DTI-related score (roughly linear separation), and (2) a more complex credit product whose two risk indicators form a non-linear “acceptable risk” region. The goal is to implement logistic regression from first principles, add polynomial feature mapping + L2 regularization for the non-linear case, and expose the decision threshold as a controllable risk-appetite lever.</w:t>
      </w:r>
    </w:p>
    <w:p>
      <w:pPr>
        <w:pStyle w:val="Heading2"/>
        <w:spacing w:after="40" w:before="40"/>
      </w:pPr>
      <w:r>
        <w:rPr>
          <w:b/>
          <w:bCs/>
          <w:sz w:val="20"/>
          <w:szCs w:val="20"/>
        </w:rPr>
        <w:t xml:space="preserve">Solution Strategy</w:t>
      </w:r>
    </w:p>
    <w:p>
      <w:pPr>
        <w:spacing w:after="16"/>
      </w:pPr>
      <w:r>
        <w:rPr>
          <w:sz w:val="17"/>
          <w:szCs w:val="17"/>
        </w:rPr>
        <w:t xml:space="preserve">• Implement the sigmoid and binary cross-entropy cost/gradients (loop + vectorized).</w:t>
      </w:r>
    </w:p>
    <w:p>
      <w:pPr>
        <w:spacing w:after="16"/>
      </w:pPr>
      <w:r>
        <w:rPr>
          <w:sz w:val="17"/>
          <w:szCs w:val="17"/>
        </w:rPr>
        <w:t xml:space="preserve">• Train a linear model on the loan-approval data and plot the P=0.5 decision boundary.</w:t>
      </w:r>
    </w:p>
    <w:p>
      <w:pPr>
        <w:spacing w:after="16"/>
      </w:pPr>
      <w:r>
        <w:rPr>
          <w:sz w:val="17"/>
          <w:szCs w:val="17"/>
        </w:rPr>
        <w:t xml:space="preserve">• Expand the complex-risk scores to degree-6 polynomials; add L2 regularization; recover a smooth closed boundary.</w:t>
      </w:r>
    </w:p>
    <w:p>
      <w:pPr>
        <w:spacing w:after="16"/>
      </w:pPr>
      <w:r>
        <w:rPr>
          <w:sz w:val="17"/>
          <w:szCs w:val="17"/>
        </w:rPr>
        <w:t xml:space="preserve">• Treat the classification threshold as a policy parameter (volume vs selectivity).</w:t>
      </w:r>
    </w:p>
    <w:p>
      <w:pPr>
        <w:spacing w:after="40"/>
      </w:pPr>
      <w:r>
        <w:rPr>
          <w:sz w:val="17"/>
          <w:szCs w:val="17"/>
        </w:rPr>
        <w:t xml:space="preserve">• Provide sklearn baselines, λ-sensitivity simulation, and audience-adapted narratives for Credit Risk, Underwriting and the Risk Committee.</w:t>
      </w:r>
    </w:p>
    <w:p>
      <w:pPr>
        <w:pStyle w:val="Heading2"/>
        <w:spacing w:after="40" w:before="40"/>
      </w:pPr>
      <w:r>
        <w:rPr>
          <w:b/>
          <w:bCs/>
          <w:sz w:val="20"/>
          <w:szCs w:val="20"/>
        </w:rPr>
        <w:t xml:space="preserve">Solution</w:t>
      </w:r>
    </w:p>
    <w:p>
      <w:pPr>
        <w:spacing w:after="40"/>
      </w:pPr>
      <w:r>
        <w:rPr>
          <w:sz w:val="17"/>
          <w:szCs w:val="17"/>
        </w:rPr>
        <w:t xml:space="preserve">The linear loan-approval model reaches ~91 % training accuracy with a clear straight decision boundary. After polynomial expansion and modest L2 regularization (λ ≈ 1) the complex-risk classifier reaches ~82 % accuracy and produces a smooth closed contour. Stronger regularization lowers accuracy but yields a more conservative, generalizable policy boundary — the classic volume-versus-risk trade-off that Risk Committees care about.</w:t>
      </w:r>
    </w:p>
    <w:p>
      <w:pPr>
        <w:spacing w:after="20"/>
        <w:jc w:val="center"/>
      </w:pPr>
      <w:r>
        <w:drawing>
          <wp:inline distT="0" distB="0" distL="0" distR="0">
            <wp:extent cx="3810000" cy="2476500"/>
            <wp:effectExtent t="0" r="0" b="0" l="0"/>
            <wp:docPr id="1" name="fc" descr="Workflow" title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iCs/>
          <w:sz w:val="15"/>
          <w:szCs w:val="15"/>
        </w:rPr>
        <w:t xml:space="preserve">Figure 1 – End-to-end banking logistic-regression workflow</w:t>
      </w:r>
    </w:p>
    <w:p>
      <w:pPr>
        <w:spacing w:after="20" w:before="20"/>
        <w:jc w:val="center"/>
      </w:pPr>
      <w:r>
        <w:drawing>
          <wp:inline distT="0" distB="0" distL="0" distR="0">
            <wp:extent cx="2000250" cy="1666875"/>
            <wp:effectExtent t="0" r="0" b="0" l="0"/>
            <wp:docPr id="1" name="l" descr="" title="Lo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  </w:t>
      </w:r>
      <w:r>
        <w:drawing>
          <wp:inline distT="0" distB="0" distL="0" distR="0">
            <wp:extent cx="2000250" cy="1666875"/>
            <wp:effectExtent t="0" r="0" b="0" l="0"/>
            <wp:docPr id="1" name="r" descr="" title="R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iCs/>
          <w:sz w:val="15"/>
          <w:szCs w:val="15"/>
        </w:rPr>
        <w:t xml:space="preserve">Figure 2 – Linear loan-approval boundary (left) vs regularized complex-risk boundary (right)</w:t>
      </w:r>
    </w:p>
    <w:p>
      <w:pPr>
        <w:pStyle w:val="Heading2"/>
        <w:spacing w:after="40" w:before="40"/>
      </w:pPr>
      <w:r>
        <w:rPr>
          <w:b/>
          <w:bCs/>
          <w:sz w:val="20"/>
          <w:szCs w:val="20"/>
        </w:rPr>
        <w:t xml:space="preserve">Key Takeaways</w:t>
      </w:r>
    </w:p>
    <w:p>
      <w:pPr>
        <w:spacing w:after="16"/>
      </w:pPr>
      <w:r>
        <w:rPr>
          <w:sz w:val="17"/>
          <w:szCs w:val="17"/>
        </w:rPr>
        <w:t xml:space="preserve">• Logistic regression maps an underwriting score into a calibrated probability; the threshold is a separate policy choice that encodes risk appetite.</w:t>
      </w:r>
    </w:p>
    <w:p>
      <w:pPr>
        <w:spacing w:after="16"/>
      </w:pPr>
      <w:r>
        <w:rPr>
          <w:sz w:val="17"/>
          <w:szCs w:val="17"/>
        </w:rPr>
        <w:t xml:space="preserve">• Feature mapping + L2 regularization allows a linear classifier to capture non-linear risk regions while controlling over-fit — essential for complex products.</w:t>
      </w:r>
    </w:p>
    <w:p>
      <w:pPr>
        <w:spacing w:after="16"/>
      </w:pPr>
      <w:r>
        <w:rPr>
          <w:sz w:val="17"/>
          <w:szCs w:val="17"/>
        </w:rPr>
        <w:t xml:space="preserve">• Always visualise the decision boundary; regulators and Risk Committees expect to see the policy geometry, not only an accuracy number.</w:t>
      </w:r>
    </w:p>
    <w:p>
      <w:pPr>
        <w:spacing w:after="16"/>
      </w:pPr>
      <w:r>
        <w:rPr>
          <w:sz w:val="17"/>
          <w:szCs w:val="17"/>
        </w:rPr>
        <w:t xml:space="preserve">• Different audiences need different depth: Credit Risk wants the mathematics, Underwriting wants the boundary plots, Executives want the volume-versus-risk sentence.</w:t>
      </w:r>
    </w:p>
    <w:p>
      <w:pPr>
        <w:spacing w:after="16"/>
      </w:pPr>
      <w:r>
        <w:rPr>
          <w:sz w:val="17"/>
          <w:szCs w:val="17"/>
        </w:rPr>
        <w:t xml:space="preserve">• The reusable template and simulation cells make it straightforward to re-apply the same pipeline to any new two-feature credit-risk data set.</w:t>
      </w:r>
    </w:p>
    <w:sectPr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6ea4cda59cbcec0a5414d969a30914315287d1.png"/><Relationship Id="rId8" Type="http://schemas.openxmlformats.org/officeDocument/2006/relationships/image" Target="media/f618922e0ae4a3720dfa7b772f3a0ea9220b14d5.png"/><Relationship Id="rId9" Type="http://schemas.openxmlformats.org/officeDocument/2006/relationships/image" Target="media/d94f661332b4513a0a57fea192c47c6eedb923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2026-08-25T01:22:22.090Z</dcterms:created>
  <dcterms:modified xsi:type="dcterms:W3CDTF">2026-08-25T01:22:22.091Z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