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Logistic Regression – Quick Cheat Sheet</w:t>
      </w:r>
    </w:p>
    <w:p>
      <w:pPr>
        <w:spacing w:after="80"/>
      </w:pPr>
      <w:r>
        <w:rPr>
          <w:i/>
          <w:iCs/>
          <w:sz w:val="18"/>
          <w:szCs w:val="18"/>
        </w:rPr>
        <w:t xml:space="preserve">Use this sheet while working through the Practice Skeleton. All formulas match the C1_W3 lab + vectorized alternates.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1. Core Formulas</w:t>
      </w:r>
    </w:p>
    <w:p>
      <w:r>
        <w:rPr>
          <w:sz w:val="18"/>
          <w:szCs w:val="18"/>
        </w:rPr>
        <w:t xml:space="preserve">Sigmoid:   g(z) = 1 / (1 + exp(−z))     (maps ℝ → (0,1))</w:t>
      </w:r>
    </w:p>
    <w:p>
      <w:r>
        <w:rPr>
          <w:sz w:val="18"/>
          <w:szCs w:val="18"/>
        </w:rPr>
        <w:t xml:space="preserve">Model:     f_w,b(x) = g(w·x + b)</w:t>
      </w:r>
    </w:p>
    <w:p>
      <w:r>
        <w:rPr>
          <w:sz w:val="18"/>
          <w:szCs w:val="18"/>
        </w:rPr>
        <w:t xml:space="preserve">Cost:      J(w,b) = −(1/m) Σ [ y log f + (1−y) log(1−f) ]   (+ (λ/2m)‖w‖² if regularized)</w:t>
      </w:r>
    </w:p>
    <w:p>
      <w:r>
        <w:rPr>
          <w:sz w:val="18"/>
          <w:szCs w:val="18"/>
        </w:rPr>
        <w:t xml:space="preserve">Gradients: ∂J/∂b = (1/m) Σ (f−y)     ∂J/∂wⱼ = (1/m) Σ (f−y)xⱼ   (+ (λ/m)wⱼ)</w:t>
      </w:r>
    </w:p>
    <w:p>
      <w:pPr>
        <w:spacing w:after="100"/>
      </w:pPr>
      <w:r>
        <w:rPr>
          <w:sz w:val="18"/>
          <w:szCs w:val="18"/>
        </w:rPr>
        <w:t xml:space="preserve">Update:    w := w − α ∂J/∂w ,   b := b − α ∂J/∂b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2. NumPy One-liners (vectorized)</w:t>
      </w:r>
    </w:p>
    <w:p>
      <w:r>
        <w:rPr>
          <w:rFonts w:ascii="Consolas" w:cs="Consolas" w:eastAsia="Consolas" w:hAnsi="Consolas"/>
          <w:sz w:val="17"/>
          <w:szCs w:val="17"/>
        </w:rPr>
        <w:t xml:space="preserve">sigmoid(z)          = 1/(1+np.exp(-np.clip(z,-500,500)))</w:t>
      </w:r>
    </w:p>
    <w:p>
      <w:r>
        <w:rPr>
          <w:rFonts w:ascii="Consolas" w:cs="Consolas" w:eastAsia="Consolas" w:hAnsi="Consolas"/>
          <w:sz w:val="17"/>
          <w:szCs w:val="17"/>
        </w:rPr>
        <w:t xml:space="preserve">f = sigmoid(X @ w + b)</w:t>
      </w:r>
    </w:p>
    <w:p>
      <w:r>
        <w:rPr>
          <w:rFonts w:ascii="Consolas" w:cs="Consolas" w:eastAsia="Consolas" w:hAnsi="Consolas"/>
          <w:sz w:val="17"/>
          <w:szCs w:val="17"/>
        </w:rPr>
        <w:t xml:space="preserve">cost = -np.mean(y*np.log(f)+(1-y)*np.log(1-f)) + (λ/(2*m))*np.sum(w**2)</w:t>
      </w:r>
    </w:p>
    <w:p>
      <w:r>
        <w:rPr>
          <w:rFonts w:ascii="Consolas" w:cs="Consolas" w:eastAsia="Consolas" w:hAnsi="Consolas"/>
          <w:sz w:val="17"/>
          <w:szCs w:val="17"/>
        </w:rPr>
        <w:t xml:space="preserve">dj_dw = (X.T @ (f-y))/m + (λ/m)*w ;  dj_db = np.mean(f-y)</w:t>
      </w:r>
    </w:p>
    <w:p>
      <w:pPr>
        <w:spacing w:after="100"/>
      </w:pPr>
      <w:r>
        <w:rPr>
          <w:rFonts w:ascii="Consolas" w:cs="Consolas" w:eastAsia="Consolas" w:hAnsi="Consolas"/>
          <w:sz w:val="17"/>
          <w:szCs w:val="17"/>
        </w:rPr>
        <w:t xml:space="preserve">predict = (f &gt;= 0.5).astype(int)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3. Feature Mapping (microchip)</w:t>
      </w:r>
    </w:p>
    <w:p>
      <w:r>
        <w:rPr>
          <w:sz w:val="18"/>
          <w:szCs w:val="18"/>
        </w:rPr>
        <w:t xml:space="preserve">map_feature(x1,x2) produces all terms x1^{i-j} * x2^j for i=1..6 → 27 features</w:t>
      </w:r>
    </w:p>
    <w:p>
      <w:pPr>
        <w:spacing w:after="100"/>
      </w:pPr>
      <w:r>
        <w:rPr>
          <w:sz w:val="18"/>
          <w:szCs w:val="18"/>
        </w:rPr>
        <w:t xml:space="preserve">Always regularize after expansion; otherwise the high-order polynomial overfits easily.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4. Hyper-parameters &amp; Typical Values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Admission (linear)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Microchip (reg)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α (learning rate)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0.001 (many iters) or 0.01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0.01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λ (regularization)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 (not needed)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0.01 – 1.0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Iterations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50k–100k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8k–10k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Expected Acc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~89–92 %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~80–83 % (λ=1)</w:t>
            </w:r>
          </w:p>
        </w:tc>
      </w:tr>
    </w:tbl>
    <w:p>
      <w:pPr>
        <w:pStyle w:val="Heading2"/>
        <w:spacing w:before="120"/>
      </w:pPr>
      <w:r>
        <w:rPr>
          <w:b/>
          <w:bCs/>
          <w:sz w:val="22"/>
          <w:szCs w:val="22"/>
        </w:rPr>
        <w:t xml:space="preserve">5. Quick Debugging Checklist</w:t>
      </w:r>
    </w:p>
    <w:p>
      <w:r>
        <w:rPr>
          <w:sz w:val="18"/>
          <w:szCs w:val="18"/>
        </w:rPr>
        <w:t xml:space="preserve">• sigmoid(0) must be exactly 0.5; large positive → ~1, large negative → ~0</w:t>
      </w:r>
    </w:p>
    <w:p>
      <w:r>
        <w:rPr>
          <w:sz w:val="18"/>
          <w:szCs w:val="18"/>
        </w:rPr>
        <w:t xml:space="preserve">• Cost at w=0,b=0 should be ≈ ln(2) ≈ 0.693</w:t>
      </w:r>
    </w:p>
    <w:p>
      <w:r>
        <w:rPr>
          <w:sz w:val="18"/>
          <w:szCs w:val="18"/>
        </w:rPr>
        <w:t xml:space="preserve">• If cost increases, lower α; if cost NaN, clip the sigmoid argument</w:t>
      </w:r>
    </w:p>
    <w:p>
      <w:r>
        <w:rPr>
          <w:sz w:val="18"/>
          <w:szCs w:val="18"/>
        </w:rPr>
        <w:t xml:space="preserve">• Decision boundary looks wrong? Check that you did NOT regularize the bias b</w:t>
      </w:r>
    </w:p>
    <w:p>
      <w:pPr>
        <w:spacing w:after="80"/>
      </w:pPr>
      <w:r>
        <w:rPr>
          <w:sz w:val="18"/>
          <w:szCs w:val="18"/>
        </w:rPr>
        <w:t xml:space="preserve">• Always plot the boundary – numbers alone can hide a bad fit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6. Audience Reminders (from supplied PDFs)</w:t>
      </w:r>
    </w:p>
    <w:p>
      <w:r>
        <w:rPr>
          <w:sz w:val="18"/>
          <w:szCs w:val="18"/>
        </w:rPr>
        <w:t xml:space="preserve">• High data-literacy (engineers/analysts): show cost curves, gradient formulas, residual diagnostics.</w:t>
      </w:r>
    </w:p>
    <w:p>
      <w:r>
        <w:rPr>
          <w:sz w:val="18"/>
          <w:szCs w:val="18"/>
        </w:rPr>
        <w:t xml:space="preserve">• Executives / non-specialists: lead with the scatter + boundary plot and the single accuracy number; hide the math.</w:t>
      </w:r>
    </w:p>
    <w:p>
      <w:r>
        <w:rPr>
          <w:sz w:val="18"/>
          <w:szCs w:val="18"/>
        </w:rPr>
        <w:t xml:space="preserve">• Mixed audience: start with the picture, then offer a “Technical Appendix” for the derivation.</w:t>
      </w:r>
    </w:p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2026-08-24T23:14:47.107Z</dcterms:created>
  <dcterms:modified xsi:type="dcterms:W3CDTF">2026-08-24T23:14:47.107Z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