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Bank NPL Rates by Asset Size</w:t>
      </w:r>
    </w:p>
    <w:p>
      <w:pPr>
        <w:spacing w:after="60"/>
      </w:pPr>
      <w:r>
        <w:rPr>
          <w:b/>
          <w:bCs/>
        </w:rPr>
        <w:t xml:space="preserve">Problem Statement: </w:t>
      </w:r>
      <w:r>
        <w:t xml:space="preserve">Non-performing loan (NPL) rates vary widely across banks and are a core credit-risk and asset-quality metric. This analysis investigates whether bank size (measured by total assets) is associated with higher or lower average NPL rates, using data on 158 banks.</w:t>
      </w:r>
    </w:p>
    <w:p>
      <w:pPr>
        <w:spacing w:after="60"/>
      </w:pPr>
      <w:r>
        <w:rPr>
          <w:b/>
          <w:bCs/>
        </w:rPr>
        <w:t xml:space="preserve">Solution Strategy: </w:t>
      </w:r>
      <w:r>
        <w:t xml:space="preserve">1) Extract the NPL-rate vector and compute its quartiles + histogram. 2) Compute the median of total assets and split banks into small (≤ median) and large (&gt; median) groups. 3) Compare the NPL quartiles and histograms of the two groups. 4) Quantify the gap with IQR, means/medians and Spearman correlation; run a Monte-Carlo simulation under noise and alternative split thresholds.</w:t>
      </w:r>
    </w:p>
    <w:p>
      <w:pPr>
        <w:pStyle w:val="Heading2"/>
      </w:pPr>
      <w:r>
        <w:t xml:space="preserve">Solution</w:t>
      </w:r>
    </w:p>
    <w:p>
      <w:pPr>
        <w:spacing w:after="40"/>
      </w:pPr>
      <w:r>
        <w:rPr>
          <w:b/>
          <w:bCs/>
        </w:rPr>
        <w:t xml:space="preserve">Overall NPL quartiles: </w:t>
      </w:r>
      <w:r>
        <w:t xml:space="preserve">Q1 = 7.44 %, Median = 8.96 %, Q3 = 10.18 % (range 2.74–15.68 %).</w:t>
      </w:r>
    </w:p>
    <w:p>
      <w:pPr>
        <w:spacing w:after="40"/>
      </w:pPr>
      <w:r>
        <w:rPr>
          <w:b/>
          <w:bCs/>
        </w:rPr>
        <w:t xml:space="preserve">Median total assets threshold: </w:t>
      </w:r>
      <w:r>
        <w:t xml:space="preserve">≈ $3,488 million.</w:t>
      </w:r>
    </w:p>
    <w:p>
      <w:pPr>
        <w:spacing w:after="40"/>
      </w:pPr>
      <w:r>
        <w:rPr>
          <w:b/>
          <w:bCs/>
        </w:rPr>
        <w:t xml:space="preserve">Small-bank NPL quartiles: </w:t>
      </w:r>
      <w:r>
        <w:t xml:space="preserve">2.74 / 8.00 / 9.69 / 10.67 / 15.68  (median ≈ 9.69 %).</w:t>
      </w:r>
    </w:p>
    <w:p>
      <w:pPr>
        <w:spacing w:after="40"/>
      </w:pPr>
      <w:r>
        <w:rPr>
          <w:b/>
          <w:bCs/>
        </w:rPr>
        <w:t xml:space="preserve">Large-bank NPL quartiles: </w:t>
      </w:r>
      <w:r>
        <w:t xml:space="preserve">3.97 / 7.18 / 8.49 / 9.53 / 15.17  (median ≈ 8.49 %).</w:t>
      </w:r>
    </w:p>
    <w:p>
      <w:pPr>
        <w:spacing w:after="40"/>
      </w:pPr>
      <w:r>
        <w:rPr>
          <w:b/>
          <w:bCs/>
        </w:rPr>
        <w:t xml:space="preserve">Key contrast: </w:t>
      </w:r>
      <w:r>
        <w:t xml:space="preserve">Large banks report ~1.2 percentage points lower median NPL than small banks. Spearman correlation assets–NPL ≈ −0.35 (moderate negative association).</w:t>
      </w:r>
    </w:p>
    <w:p>
      <w:pPr>
        <w:spacing w:after="60"/>
      </w:pPr>
      <w:r>
        <w:rPr>
          <w:b/>
          <w:bCs/>
        </w:rPr>
        <w:t xml:space="preserve">A bank with NPL = 9 % </w:t>
      </w:r>
      <w:r>
        <w:t xml:space="preserve">sits near the overall median; relative to size groups it is typically in the lower half of the small-bank distribution and the upper half of the large-bank distribution.</w:t>
      </w:r>
    </w:p>
    <w:p>
      <w:pPr>
        <w:jc w:val="center"/>
      </w:pPr>
      <w:r>
        <w:drawing>
          <wp:inline distT="0" distB="0" distL="0" distR="0">
            <wp:extent cx="2667000" cy="1714500"/>
            <wp:effectExtent t="0" r="0" b="0" l="0"/>
            <wp:docPr id="1" name="overall" descr="Overall NPL histogram" title="Overall h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iCs/>
          <w:color w:val="555555"/>
          <w:sz w:val="16"/>
          <w:szCs w:val="16"/>
        </w:rPr>
        <w:t xml:space="preserve">Overall NPL-rate distribution with quartile markers</w:t>
      </w:r>
    </w:p>
    <w:p>
      <w:pPr>
        <w:pStyle w:val="Heading2"/>
      </w:pPr>
      <w:r>
        <w:t xml:space="preserve">Key Takeaways</w:t>
      </w:r>
    </w:p>
    <w:p>
      <w:pPr>
        <w:spacing w:after="40"/>
      </w:pPr>
      <w:r>
        <w:t xml:space="preserve">• Larger banks (above median assets) show lower median NPL rates and slightly tighter dispersion than smaller banks.</w:t>
      </w:r>
    </w:p>
    <w:p>
      <w:pPr>
        <w:spacing w:after="40"/>
      </w:pPr>
      <w:r>
        <w:t xml:space="preserve">• The association is moderate (Spearman ≈ −0.35); size alone does not explain all variation in asset quality.</w:t>
      </w:r>
    </w:p>
    <w:p>
      <w:pPr>
        <w:spacing w:after="40"/>
      </w:pPr>
      <w:r>
        <w:t xml:space="preserve">• Monte-Carlo simulation with modest noise still yields a stable positive gap (Small − Large ≈ 1.1 pp, 95 % MC interval roughly 0.65–1.59).</w:t>
      </w:r>
    </w:p>
    <w:p>
      <w:pPr>
        <w:spacing w:after="40"/>
      </w:pPr>
      <w:r>
        <w:t xml:space="preserve">• Audience adaptation: Credit Risk analysts receive exact quartiles and correlation; executives receive the headline gap and one comparative histogram pair.</w:t>
      </w:r>
    </w:p>
    <w:p>
      <w:pPr>
        <w:spacing w:before="80"/>
      </w:pPr>
      <w:r>
        <w:rPr>
          <w:i/>
          <w:iCs/>
          <w:color w:val="666666"/>
          <w:sz w:val="16"/>
          <w:szCs w:val="16"/>
        </w:rPr>
        <w:t xml:space="preserve">Files: </w:t>
      </w:r>
      <w:r>
        <w:rPr>
          <w:color w:val="666666"/>
          <w:sz w:val="16"/>
          <w:szCs w:val="16"/>
        </w:rPr>
        <w:t xml:space="preserve">Practice_Skeleton.ipynb  |  Solution.ipynb  |  Cheatsheet  |  data/bank_data.csv  |  flowchart &amp; plots</w:t>
      </w:r>
    </w:p>
    <w:sectPr>
      <w:headerReference w:type="default" r:id="rId7"/>
      <w:footerReference w:type="default" r:id="rId8"/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Credit Risk / Banking Analytics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Bank NPL Rates by Asset Size —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80" w:before="12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60" w:before="100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608d3e1ddd553741c522997c0dbbaab2286f82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2026-08-21T01:06:49.462Z</dcterms:created>
  <dcterms:modified xsi:type="dcterms:W3CDTF">2026-08-21T01:06:49.463Z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