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Memo — Bank NPL Rates by Asset Size</w:t>
      </w:r>
    </w:p>
    <w:p>
      <w:r>
        <w:rPr>
          <w:b/>
        </w:rPr>
        <w:t xml:space="preserve">To: </w:t>
      </w:r>
      <w:r>
        <w:t>Credit Risk / ALM team &amp; Board Risk Committee</w:t>
        <w:br/>
      </w:r>
      <w:r>
        <w:rPr>
          <w:b/>
        </w:rPr>
        <w:t xml:space="preserve">From: </w:t>
      </w:r>
      <w:r>
        <w:t>Analytics Practice Lab</w:t>
        <w:br/>
      </w:r>
      <w:r>
        <w:rPr>
          <w:b/>
        </w:rPr>
        <w:t xml:space="preserve">Re: </w:t>
      </w:r>
      <w:r>
        <w:t>Cross-bank NPL rates and asset size — quantile evidence &amp; communication notes</w:t>
      </w:r>
    </w:p>
    <w:p>
      <w:pPr>
        <w:pStyle w:val="Heading2"/>
      </w:pPr>
      <w:r>
        <w:t>Purpose</w:t>
      </w:r>
    </w:p>
    <w:p>
      <w:r>
        <w:t>This short memo accompanies the R practice notebooks and 1-page summary. It highlights the main quantitative finding and how the same result should be framed for different audiences (drawing on the attached audience-analysis guidance).</w:t>
      </w:r>
    </w:p>
    <w:p>
      <w:pPr>
        <w:pStyle w:val="Heading2"/>
      </w:pPr>
      <w:r>
        <w:t>Core Finding (one sentence)</w:t>
      </w:r>
    </w:p>
    <w:p>
      <w:r>
        <w:t>Banks above the median total assets report a median NPL rate approximately 1.2 percentage points lower than smaller banks (≈8.5 % vs ≈9.7 %), with a moderate negative association between size and NPL (Spearman ≈ −0.35).</w:t>
      </w:r>
    </w:p>
    <w:p>
      <w:pPr>
        <w:pStyle w:val="Heading2"/>
      </w:pPr>
      <w:r>
        <w:t>Framing by audience</w:t>
      </w:r>
    </w:p>
    <w:p>
      <w:r>
        <w:rPr>
          <w:b/>
        </w:rPr>
        <w:t>Credit Risk analysts / technical supervisors</w:t>
      </w:r>
    </w:p>
    <w:p>
      <w:r>
        <w:t>Lead with the quartile table and the Spearman correlation. Mention IQR comparison, the Monte-Carlo stability of the gap under noise, and possible next steps (log-assets regression, controls for business model or geography, upper-tail monitoring of smaller banks). Provide the full numeric appendix.</w:t>
      </w:r>
    </w:p>
    <w:p>
      <w:r>
        <w:rPr>
          <w:b/>
        </w:rPr>
        <w:t>Subject-matter experts (ALM / Supervisors / Risk managers)</w:t>
      </w:r>
    </w:p>
    <w:p>
      <w:r>
        <w:t>Skip definitions of NPL and total assets. Emphasise that the association is visible across the distribution and that smaller banks show both higher central tendency and greater dispersion. Note the limitation: pure cross-section cannot establish causality; concentration and portfolio composition are alternative explanations.</w:t>
      </w:r>
    </w:p>
    <w:p>
      <w:r>
        <w:rPr>
          <w:b/>
        </w:rPr>
        <w:t>Executives / Board / nonspecialists / short time-span readers</w:t>
      </w:r>
    </w:p>
    <w:p>
      <w:r>
        <w:t>One headline + one visual pair of histograms is enough. Avoid the word “quartile”. Say: “Larger banks report lower non-performing loan rates on average; the gap is visible even in a simple side-by-side chart.” Offer a single implication: scale and diversification appear associated with better average asset quality; capital and portfolio strategy should recognise higher variability among smaller banks.</w:t>
      </w:r>
    </w:p>
    <w:p>
      <w:pPr>
        <w:pStyle w:val="Heading2"/>
      </w:pPr>
      <w:r>
        <w:t>Recommended deliverables for each audience</w:t>
      </w:r>
    </w:p>
    <w:p>
      <w:r>
        <w:t>• Analyst pack: Solution notebook + Cheatsheet + simulation plot</w:t>
        <w:br/>
        <w:t>• Executive / Board pack: 1-page summary + the two coloured histograms only</w:t>
        <w:br/>
        <w:t>• Mixed audience: use clear headings and section intros so each reader can skip to the level they need (per the data-analysis-report structure notes).</w:t>
      </w:r>
    </w:p>
    <w:p/>
    <w:p>
      <w:r>
        <w:rPr>
          <w:i/>
        </w:rPr>
        <w:t xml:space="preserve">Attachments: </w:t>
      </w:r>
      <w:r>
        <w:t>Practice_Skeleton.ipynb, Solution.ipynb, 1Page_Summary_Report.docx, Cheatsheet.docx, flowchart &amp; histogram PNGs, data/bank_data.csv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