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Memo — Hypothesis Testing with R (Familiar)</w:t>
      </w:r>
    </w:p>
    <w:p>
      <w:r>
        <w:t>To: Familiar Product, Marketing &amp; Executive Leadership</w:t>
      </w:r>
    </w:p>
    <w:p>
      <w:r>
        <w:t>From: Data Analysis Team</w:t>
      </w:r>
    </w:p>
    <w:p>
      <w:r>
        <w:t>Re: Statistical evaluation of Vein Pack and Artery Pack lifespan data</w:t>
      </w:r>
    </w:p>
    <w:p>
      <w:r>
        <w:t>Date: August 2026</w:t>
      </w:r>
    </w:p>
    <w:p>
      <w:pPr>
        <w:pStyle w:val="Heading1"/>
      </w:pPr>
      <w:r>
        <w:t>Purpose of this Memo</w:t>
      </w:r>
    </w:p>
    <w:p>
      <w:r>
        <w:t>This memo translates the full technical analysis (see Solution notebook and 1-page summary) into three audience-specific messages, following the principles in “What to Consider When Considering the Audience” and “Audience and Situation Analysis” (data literacy, subject knowledge, needs &amp; interests, mixed audiences).</w:t>
      </w:r>
    </w:p>
    <w:p>
      <w:pPr>
        <w:pStyle w:val="Heading1"/>
      </w:pPr>
      <w:r>
        <w:t>1. Executive Summary (≤ 30 seconds)</w:t>
      </w:r>
    </w:p>
    <w:p>
      <w:r>
        <w:t>Vein Pack subscribers live significantly longer than the general population (average 76.2 vs 71 years; p-value essentially zero). The difference between Vein and Artery packs is about 1.3 years and is not yet statistically conclusive. Recommendation: market the Vein Pack longevity claim aggressively; treat the Vein-over-Artery claim as “promising — needs larger sample.”</w:t>
      </w:r>
    </w:p>
    <w:p>
      <w:pPr>
        <w:pStyle w:val="Heading1"/>
      </w:pPr>
      <w:r>
        <w:t>2. Product &amp; Marketing Team (actionable)</w:t>
      </w:r>
    </w:p>
    <w:p>
      <w:r>
        <w:t>• You may state, with high confidence, that Vein Pack users outlive the typical person by roughly five years.</w:t>
        <w:br/>
        <w:t>• Do not claim that Vein is proven superior to Artery on lifespan; the current p-value (0.056) sits just above the conventional 5 % threshold. Language such as “early data favour Vein by a little more than a year” is safer.</w:t>
        <w:br/>
        <w:t>• To resolve the open question we recommend expanding each pack cohort to ~40–45 observed lifespans; power simulations show this would give approximately 80 % chance of detecting a true 1.3-year difference if it exists.</w:t>
        <w:br/>
        <w:t>• Iron side-effect profiles (examined in companion analyses) should be presented alongside longevity results so that customers receive a balanced picture.</w:t>
      </w:r>
    </w:p>
    <w:p>
      <w:pPr>
        <w:pStyle w:val="Heading1"/>
      </w:pPr>
      <w:r>
        <w:t>3. Technical / Statistical Reviewers</w:t>
      </w:r>
    </w:p>
    <w:p>
      <w:r>
        <w:t>One-sample t-test (Vein vs μ₀ = 71): t(19) = 11.959, p = 2.75e-10, 95 % CI [75.26, 77.07].</w:t>
        <w:br/>
        <w:t>Two-sample Welch t-test (Vein vs Artery): t = 1.972, df = 37.3, p = 0.056, 95 % CI for difference [–0.035, 2.626].</w:t>
        <w:br/>
        <w:t>Cohen’s d = 0.62. SD ratio ≈ 0.87 (homogeneity acceptable). Shapiro-Wilk p-values do not reject normality.</w:t>
        <w:br/>
        <w:t>Monte-Carlo power for Δ = 1.3 yr, n = 20, α = 0.05 ≈ 0.45–0.50; n ≈ 42 per arm reaches ~80 % power.</w:t>
        <w:br/>
        <w:t>All code, assumption checks, alternate implementations (manual t, equal-variance, formula interface, ANOVA demo) and the power curve are fully reproducible in the Solution notebook.</w:t>
      </w:r>
    </w:p>
    <w:p>
      <w:pPr>
        <w:pStyle w:val="Heading1"/>
      </w:pPr>
      <w:r>
        <w:t>4. Non-specialist / General Audience Version</w:t>
      </w:r>
    </w:p>
    <w:p>
      <w:r>
        <w:t>People who use the Vein Pack live about five years longer, on average, than the typical person. We are very confident about that finding. The Vein Pack also looks a little better than the Artery Pack, but the difference is small enough that we need a few more customers in the study before we can be sure. In the meantime both packs appear to be good options; the choice can be guided by other factors such as side-effect preferences and price.</w:t>
      </w:r>
    </w:p>
    <w:p>
      <w:pPr>
        <w:pStyle w:val="Heading1"/>
      </w:pPr>
      <w:r>
        <w:t>Appendix — Why Audience Adaptation Matters</w:t>
      </w:r>
    </w:p>
    <w:p>
      <w:r>
        <w:t>The supplied PDFs emphasise that “considering the audience” is not vague empathy; it is a concrete checklist:</w:t>
        <w:br/>
        <w:t>• Data literacy determines whether sophisticated charts (boxplots, CIs) or simple bars are safer.</w:t>
        <w:br/>
        <w:t>• Subject knowledge determines whether abbreviations and technical terms can be left unexplained.</w:t>
        <w:br/>
        <w:t>• Mixed audiences are best served by layered documents (headline → body → appendix) rather than a single lowest-common-denominator text.</w:t>
        <w:br/>
        <w:t>This memo is itself an example of that layered approach.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