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Life Expectancy By Country</w:t>
      </w:r>
    </w:p>
    <w:p>
      <w:pPr>
        <w:spacing w:after="60"/>
      </w:pPr>
      <w:r>
        <w:rPr>
          <w:b/>
          <w:bCs/>
        </w:rPr>
        <w:t xml:space="preserve">Problem Statement: </w:t>
      </w:r>
      <w:r>
        <w:t xml:space="preserve">Technological and medical progress has raised human life expectancy, yet large cross-country differences remain. This analysis investigates whether a country’s economic success (measured by GDP) is associated with higher average life expectancy, using data on 158 countries.</w:t>
      </w:r>
    </w:p>
    <w:p>
      <w:pPr>
        <w:spacing w:after="60"/>
      </w:pPr>
      <w:r>
        <w:rPr>
          <w:b/>
          <w:bCs/>
        </w:rPr>
        <w:t xml:space="preserve">Solution Strategy: </w:t>
      </w:r>
      <w:r>
        <w:t xml:space="preserve">1) Extract the life-expectancy vector and compute its quartiles + histogram. 2) Compute the median GDP and split countries into low-GDP (≤ median) and high-GDP (&gt; median) groups. 3) Compare the life-expectancy quartiles and histograms of the two groups. 4) Quantify the gap with IQR, means/medians and Spearman correlation; run a Monte-Carlo simulation under noise and alternative split thresholds.</w:t>
      </w:r>
    </w:p>
    <w:p>
      <w:pPr>
        <w:pStyle w:val="Heading2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Overall life expectancy quartiles: </w:t>
      </w:r>
      <w:r>
        <w:t xml:space="preserve">Q1 = 61.5, Median = 71.1, Q3 = 74.8 years (range 48–83.5).</w:t>
      </w:r>
    </w:p>
    <w:p>
      <w:pPr>
        <w:spacing w:after="40"/>
      </w:pPr>
      <w:r>
        <w:rPr>
          <w:b/>
          <w:bCs/>
        </w:rPr>
        <w:t xml:space="preserve">Median GDP threshold: </w:t>
      </w:r>
      <w:r>
        <w:t xml:space="preserve">9,109.</w:t>
      </w:r>
    </w:p>
    <w:p>
      <w:pPr>
        <w:spacing w:after="40"/>
      </w:pPr>
      <w:r>
        <w:rPr>
          <w:b/>
          <w:bCs/>
        </w:rPr>
        <w:t xml:space="preserve">Low-GDP group LE quartiles: </w:t>
      </w:r>
      <w:r>
        <w:t xml:space="preserve">48.0 / 54.1 / 62.7 / 69.0 / 72.9  (median ≈ 62.7 yrs).</w:t>
      </w:r>
    </w:p>
    <w:p>
      <w:pPr>
        <w:spacing w:after="40"/>
      </w:pPr>
      <w:r>
        <w:rPr>
          <w:b/>
          <w:bCs/>
        </w:rPr>
        <w:t xml:space="preserve">High-GDP group LE quartiles: </w:t>
      </w:r>
      <w:r>
        <w:t xml:space="preserve">49.4 / 72.8 / 74.8 / 78.4 / 83.5  (median ≈ 74.8 yrs).</w:t>
      </w:r>
    </w:p>
    <w:p>
      <w:pPr>
        <w:spacing w:after="40"/>
      </w:pPr>
      <w:r>
        <w:rPr>
          <w:b/>
          <w:bCs/>
        </w:rPr>
        <w:t xml:space="preserve">Key contrast: </w:t>
      </w:r>
      <w:r>
        <w:t xml:space="preserve">High-GDP countries live ~12 years longer at the median; their distribution is much tighter (IQR 5.6 vs 14.9). Spearman correlation GDP–LE ≈ 0.92.</w:t>
      </w:r>
    </w:p>
    <w:p>
      <w:pPr>
        <w:spacing w:after="60"/>
      </w:pPr>
      <w:r>
        <w:rPr>
          <w:b/>
          <w:bCs/>
        </w:rPr>
        <w:t xml:space="preserve">A country with LE = 70 years </w:t>
      </w:r>
      <w:r>
        <w:t xml:space="preserve">falls in the upper half of the low-GDP distribution but in the lower half of the high-GDP distribution — illustrating how the same absolute value has very different relative meaning depending on economic context.</w:t>
      </w:r>
    </w:p>
    <w:p>
      <w:pPr>
        <w:jc w:val="center"/>
      </w:pPr>
      <w:r>
        <w:drawing>
          <wp:inline distT="0" distB="0" distL="0" distR="0">
            <wp:extent cx="2667000" cy="1714500"/>
            <wp:effectExtent t="0" r="0" b="0" l="0"/>
            <wp:docPr id="1" name="overall" descr="Overall LE histogram" title="Overall 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color w:val="555555"/>
          <w:sz w:val="16"/>
          <w:szCs w:val="16"/>
        </w:rPr>
        <w:t xml:space="preserve">Overall life-expectancy distribution with quartile markers</w:t>
      </w:r>
    </w:p>
    <w:p>
      <w:pPr>
        <w:pStyle w:val="Heading2"/>
      </w:pPr>
      <w:r>
        <w:t xml:space="preserve">Key Takeaways</w:t>
      </w:r>
    </w:p>
    <w:p>
      <w:pPr>
        <w:spacing w:after="40"/>
      </w:pPr>
      <w:r>
        <w:t xml:space="preserve">• Higher national GDP is strongly associated with longer life expectancy; the median gap is approximately 12 years.</w:t>
      </w:r>
    </w:p>
    <w:p>
      <w:pPr>
        <w:spacing w:after="40"/>
      </w:pPr>
      <w:r>
        <w:t xml:space="preserve">• The high-GDP group is far more homogeneous (smaller IQR), while the low-GDP group contains the countries with the lowest LE values.</w:t>
      </w:r>
    </w:p>
    <w:p>
      <w:pPr>
        <w:spacing w:after="40"/>
      </w:pPr>
      <w:r>
        <w:t xml:space="preserve">• Monte-Carlo simulation with modest noise (σ = 1.5) still yields a stable positive gap (mean ≈ 12 years, 95 % MC interval roughly 10.5–13.4).</w:t>
      </w:r>
    </w:p>
    <w:p>
      <w:pPr>
        <w:spacing w:after="40"/>
      </w:pPr>
      <w:r>
        <w:t xml:space="preserve">• Audience adaptation: analysts receive exact quartiles and correlation; executives receive the headline gap and a single comparative histogram pair.</w:t>
      </w:r>
    </w:p>
    <w:p>
      <w:pPr>
        <w:spacing w:before="80"/>
      </w:pPr>
      <w:r>
        <w:rPr>
          <w:i/>
          <w:iCs/>
          <w:color w:val="666666"/>
          <w:sz w:val="16"/>
          <w:szCs w:val="16"/>
        </w:rPr>
        <w:t xml:space="preserve">Files: </w:t>
      </w:r>
      <w:r>
        <w:rPr>
          <w:color w:val="666666"/>
          <w:sz w:val="16"/>
          <w:szCs w:val="16"/>
        </w:rPr>
        <w:t xml:space="preserve">Practice_Skeleton.ipynb  |  Solution.ipynb  |  Cheatsheet  |  data/country_data.csv  |  flowchart &amp; plots</w:t>
      </w:r>
    </w:p>
    <w:sectPr>
      <w:headerReference w:type="default" r:id="rId7"/>
      <w:footerReference w:type="default" r:id="rId8"/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R Quantiles &amp; GDP Split Analysis  | 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Life Expectancy by Country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12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60" w:before="10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eba2c5dbfd380d37e5445f09d3b68248261d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2026-08-21T00:44:22.594Z</dcterms:created>
  <dcterms:modified xsi:type="dcterms:W3CDTF">2026-08-21T00:44:22.594Z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