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Life Expectancy by Country — Cheatsheet (R)</w:t>
      </w:r>
    </w:p>
    <w:p>
      <w:pPr>
        <w:spacing w:after="60"/>
      </w:pPr>
      <w:r>
        <w:rPr>
          <w:b/>
          <w:bCs/>
        </w:rPr>
        <w:t xml:space="preserve">Core pipeline: </w:t>
      </w:r>
      <w:r>
        <w:t xml:space="preserve">load → pull(life_expectancy) → quantile() → hist() → pull(GDP) → median → filter + pull by group → quantile per group → hist(red/blue) → interpret.</w:t>
      </w:r>
    </w:p>
    <w:p>
      <w:pPr>
        <w:pStyle w:val="Heading2"/>
      </w:pPr>
      <w:r>
        <w:t xml:space="preserve">Essential dplyr &amp; base patterns</w:t>
      </w:r>
    </w:p>
    <w:p>
      <w:pPr>
        <w:spacing w:after="30"/>
      </w:pPr>
      <w:r>
        <w:rPr>
          <w:b/>
          <w:bCs/>
        </w:rPr>
        <w:t xml:space="preserve">Extract vector (required for quantile/hist):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life_expectancy &lt;- data %&gt;% pull(life_expectancy)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# base-R alternate: data$life_expectancy   or   data[["life_expectancy"]]</w:t>
      </w:r>
    </w:p>
    <w:p>
      <w:pPr>
        <w:spacing w:after="30"/>
      </w:pPr>
      <w:r>
        <w:rPr>
          <w:b/>
          <w:bCs/>
        </w:rPr>
        <w:t xml:space="preserve">Quartiles / median: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quantile(x)                  # 0%, 25%, 50%, 75%, 100%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median(x)   # or quantile(x, 0.5)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IQR(x)      # Q3 – Q1</w:t>
      </w:r>
    </w:p>
    <w:p>
      <w:pPr>
        <w:spacing w:after="30"/>
      </w:pPr>
      <w:r>
        <w:rPr>
          <w:b/>
          <w:bCs/>
        </w:rPr>
        <w:t xml:space="preserve">Split by median GDP: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low  &lt;- data %&gt;% filter(GDP &lt;= median_gdp) %&gt;% pull(life_expectancy)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high &lt;- data %&gt;% filter(GDP &gt;  median_gdp) %&gt;% pull(life_expectancy)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# logical-index alternate: life_expectancy[gdp &lt;= median_gdp]</w:t>
      </w:r>
    </w:p>
    <w:p>
      <w:pPr>
        <w:spacing w:after="30"/>
      </w:pPr>
      <w:r>
        <w:rPr>
          <w:b/>
          <w:bCs/>
        </w:rPr>
        <w:t xml:space="preserve">Histograms: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hist(low, col="red");  hist(high, col="blue")</w:t>
      </w:r>
    </w:p>
    <w:p>
      <w:pPr>
        <w:pStyle w:val="Heading2"/>
      </w:pPr>
      <w:r>
        <w:t xml:space="preserve">Interpretation rules of thumb</w:t>
      </w:r>
    </w:p>
    <w:p>
      <w:pPr>
        <w:spacing w:after="30"/>
      </w:pPr>
      <w:r>
        <w:t xml:space="preserve">• 70 years relative to overall quartiles tells you the global quarter; relative to each GDP group’s quartiles tells you the economic-context quarter.</w:t>
      </w:r>
    </w:p>
    <w:p>
      <w:pPr>
        <w:spacing w:after="30"/>
      </w:pPr>
      <w:r>
        <w:t xml:space="preserve">• Large shift of the whole distribution (especially the median) + smaller IQR in the high-GDP group = strong positive association.</w:t>
      </w:r>
    </w:p>
    <w:p>
      <w:pPr>
        <w:spacing w:after="30"/>
      </w:pPr>
      <w:r>
        <w:t xml:space="preserve">• Mean &gt; median → right skew; mean &lt; median → left skew. Compare both groups.</w:t>
      </w:r>
    </w:p>
    <w:p>
      <w:pPr>
        <w:pStyle w:val="Heading2"/>
      </w:pPr>
      <w:r>
        <w:t xml:space="preserve">Audience checklist (from attached PDFs)</w:t>
      </w:r>
    </w:p>
    <w:p>
      <w:pPr>
        <w:spacing w:after="30"/>
      </w:pPr>
      <w:r>
        <w:rPr>
          <w:b/>
          <w:bCs/>
        </w:rPr>
        <w:t xml:space="preserve">Data literacy: </w:t>
      </w:r>
      <w:r>
        <w:t xml:space="preserve">Analysts → quartiles, IQR, Spearman; Nonspecialists → “about 12 years longer” + side-by-side histograms.</w:t>
      </w:r>
    </w:p>
    <w:p>
      <w:pPr>
        <w:spacing w:after="30"/>
      </w:pPr>
      <w:r>
        <w:rPr>
          <w:b/>
          <w:bCs/>
        </w:rPr>
        <w:t xml:space="preserve">Subject knowledge: </w:t>
      </w:r>
      <w:r>
        <w:t xml:space="preserve">Public-health / economists → skip GDP definition; highlight policy implication. Lay audience → explain why the gap matters.</w:t>
      </w:r>
    </w:p>
    <w:p>
      <w:pPr>
        <w:spacing w:after="30"/>
      </w:pPr>
      <w:r>
        <w:rPr>
          <w:b/>
          <w:bCs/>
        </w:rPr>
        <w:t xml:space="preserve">Time span: </w:t>
      </w:r>
      <w:r>
        <w:t xml:space="preserve">C-level / newspaper skimmers → one headline + one visual. Analysts can receive the full numeric table.</w:t>
      </w:r>
    </w:p>
    <w:p>
      <w:pPr>
        <w:spacing w:after="30"/>
      </w:pPr>
      <w:r>
        <w:rPr>
          <w:b/>
          <w:bCs/>
        </w:rPr>
        <w:t xml:space="preserve">Adaptation levers: </w:t>
      </w:r>
      <w:r>
        <w:t xml:space="preserve">add/omit background, change example concreteness, strengthen transitions, use topic sentences.</w:t>
      </w:r>
    </w:p>
    <w:p>
      <w:pPr>
        <w:pStyle w:val="Heading2"/>
      </w:pPr>
      <w:r>
        <w:t xml:space="preserve">Simulation knobs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split_prob  </w:t>
      </w:r>
      <w:r>
        <w:t xml:space="preserve">– GDP quantile used as threshold (0.5 = median; try 0.4 / 0.6)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noise_sd    </w:t>
      </w:r>
      <w:r>
        <w:t xml:space="preserve">– SD of Gaussian noise added to LE before each replicate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n_sim       </w:t>
      </w:r>
      <w:r>
        <w:t xml:space="preserve">– number of Monte-Carlo draws; inspect mean difference and 95 % MC interval</w:t>
      </w:r>
    </w:p>
    <w:p>
      <w:pPr>
        <w:pStyle w:val="Heading2"/>
      </w:pPr>
      <w:r>
        <w:t xml:space="preserve">Quick verification numbers (this data)</w:t>
      </w:r>
    </w:p>
    <w:p>
      <w:pPr>
        <w:spacing w:after="20"/>
      </w:pPr>
      <w:r>
        <w:t xml:space="preserve">Overall Q: 48.0 / 61.5 / 71.1 / 74.8 / 83.5    Median GDP ≈ 9 109</w:t>
      </w:r>
    </w:p>
    <w:p>
      <w:pPr>
        <w:spacing w:after="20"/>
      </w:pPr>
      <w:r>
        <w:t xml:space="preserve">Low-GDP median LE ≈ 62.7   High-GDP median LE ≈ 74.8   Gap ≈ 12 yrs</w:t>
      </w:r>
    </w:p>
    <w:p>
      <w:pPr>
        <w:spacing w:after="20"/>
      </w:pPr>
      <w:r>
        <w:t xml:space="preserve">Spearman ρ(GDP, LE) ≈ 0.92    High-group IQR much smaller (≈ 5.6 vs 14.9)</w:t>
      </w:r>
    </w:p>
    <w:sectPr>
      <w:pgSz w:w="11906" w:h="16838" w:orient="portrait"/>
      <w:pgMar w:top="450" w:right="550" w:bottom="45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0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spacing w:after="40" w:before="80"/>
    </w:pPr>
    <w:rPr>
      <w:rFonts w:ascii="Calibri" w:cs="Calibri" w:eastAsia="Calibri" w:hAnsi="Calibri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2026-08-21T00:44:22.601Z</dcterms:created>
  <dcterms:modified xsi:type="dcterms:W3CDTF">2026-08-21T00:44:22.601Z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