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</w:rPr>
        <w:t xml:space="preserve">TO:		</w:t>
      </w:r>
      <w:r>
        <w:t xml:space="preserve">Urban Planning Data Team &amp; Capacity-Building Leads</w:t>
      </w:r>
    </w:p>
    <w:p>
      <w:pPr>
        <w:spacing w:after="40"/>
      </w:pPr>
      <w:r>
        <w:rPr>
          <w:b/>
          <w:bCs/>
        </w:rPr>
        <w:t xml:space="preserve">FROM:	</w:t>
      </w:r>
      <w:r>
        <w:t xml:space="preserve">Analytics Training Unit</w:t>
      </w:r>
    </w:p>
    <w:p>
      <w:pPr>
        <w:spacing w:after="40"/>
      </w:pPr>
      <w:r>
        <w:rPr>
          <w:b/>
          <w:bCs/>
        </w:rPr>
        <w:t xml:space="preserve">DATE:	</w:t>
      </w:r>
      <w:r>
        <w:t xml:space="preserve">19 August 2026</w:t>
      </w:r>
    </w:p>
    <w:p>
      <w:pPr>
        <w:spacing w:after="120"/>
      </w:pPr>
      <w:r>
        <w:rPr>
          <w:b/>
          <w:bCs/>
        </w:rPr>
        <w:t xml:space="preserve">RE:		</w:t>
      </w:r>
      <w:r>
        <w:rPr>
          <w:b/>
          <w:bCs/>
        </w:rPr>
        <w:t xml:space="preserve">Extended Practice Project — Introduction to R Syntax (Istanbul Population Growth)</w:t>
      </w:r>
    </w:p>
    <w:p>
      <w:pPr>
        <w:pStyle w:val="Heading1"/>
      </w:pPr>
      <w:r>
        <w:t xml:space="preserve">Purpose</w:t>
      </w:r>
    </w:p>
    <w:p>
      <w:pPr>
        <w:spacing w:after="120"/>
      </w:pPr>
      <w:r>
        <w:t xml:space="preserve">This memo accompanies the extended “Introduction to R Syntax” learning package. The package teaches foundational R skills through a realistic UN urban-planning scenario: quantifying Istanbul’s long-run population growth so that resource forecasts can be grounded in historical evidence.</w:t>
      </w:r>
    </w:p>
    <w:p>
      <w:pPr>
        <w:pStyle w:val="Heading1"/>
      </w:pPr>
      <w:r>
        <w:t xml:space="preserve">Narrative of the Project</w:t>
      </w:r>
    </w:p>
    <w:p>
      <w:pPr>
        <w:spacing w:after="80"/>
      </w:pPr>
      <w:r>
        <w:t xml:space="preserve">Istanbul has grown from roughly 691 000 residents in 1927 to more than 15 million in 2017. For an urban planner the raw numbers are less useful than a clear, reproducible measure of average annual growth. The exercise asks learners to:</w:t>
      </w:r>
    </w:p>
    <w:p>
      <w:pPr>
        <w:spacing w:after="40"/>
      </w:pPr>
      <w:r>
        <w:t xml:space="preserve">1. Capture the city name and the two endpoint populations in well-named R variables.</w:t>
      </w:r>
    </w:p>
    <w:p>
      <w:pPr>
        <w:spacing w:after="40"/>
      </w:pPr>
      <w:r>
        <w:t xml:space="preserve">2. Compute absolute change, convert it to a percentage, and divide by the 90-year span—thereby practising arithmetic operators and parentheses.</w:t>
      </w:r>
    </w:p>
    <w:p>
      <w:pPr>
        <w:spacing w:after="40"/>
      </w:pPr>
      <w:r>
        <w:t xml:space="preserve">3. Call a supplied helper function that returns the rate and prints a human-readable sentence suitable for a briefing note.</w:t>
      </w:r>
    </w:p>
    <w:p>
      <w:pPr>
        <w:spacing w:after="80"/>
      </w:pPr>
      <w:r>
        <w:t xml:space="preserve">Because the arithmetic average over such a long horizon inflates the apparent yearly rate (~23 %), the solution notebook also demonstrates the geometrically correct rate (~3.5 %). This contrast itself becomes a teaching moment about method choice and audience communication.</w:t>
      </w:r>
    </w:p>
    <w:p>
      <w:pPr>
        <w:spacing w:after="80"/>
      </w:pPr>
      <w:r>
        <w:t xml:space="preserve">The package deliberately mirrors the dual-audience reality of UN work. Analysts need transparent intermediate steps and alternative implementations (vectors, data frames, geometric formula). Decision-makers need a one-sentence headline and a clean chart. The 1-page summary report and the simulation cell address both needs.</w:t>
      </w:r>
    </w:p>
    <w:p>
      <w:pPr>
        <w:pStyle w:val="Heading1"/>
      </w:pPr>
      <w:r>
        <w:t xml:space="preserve">Deliverables Included</w:t>
      </w:r>
    </w:p>
    <w:p>
      <w:pPr>
        <w:spacing w:after="40"/>
      </w:pPr>
      <w:r>
        <w:t xml:space="preserve">• Introduction_to_R_Syntax_Practice_Skeleton.ipynb — step-by-step markdown instructions with “YOUR CODE HERE” cells, flowchart, alternate challenges, more-practice drills, and a tunable simulation block.</w:t>
      </w:r>
    </w:p>
    <w:p>
      <w:pPr>
        <w:spacing w:after="40"/>
      </w:pPr>
      <w:r>
        <w:t xml:space="preserve">• Introduction_to_R_Syntax_Solution.ipynb — complete reference solutions, four alternate coding styles, answered practice items, and pre-populated simulation.</w:t>
      </w:r>
    </w:p>
    <w:p>
      <w:pPr>
        <w:spacing w:after="40"/>
      </w:pPr>
      <w:r>
        <w:t xml:space="preserve">• Introduction_to_R_Syntax_Cheatsheet.docx — one-page command reference covering assignment, arithmetic, paste(), functions, vectors, and the key growth formulas.</w:t>
      </w:r>
    </w:p>
    <w:p>
      <w:pPr>
        <w:spacing w:after="40"/>
      </w:pPr>
      <w:r>
        <w:t xml:space="preserve">• Introduction_to_R_Syntax_1Page_Summary_Report.docx — Problem / Strategy / Solution / Key Takeaways structure with embedded population chart and pipeline flowchart.</w:t>
      </w:r>
    </w:p>
    <w:p>
      <w:pPr>
        <w:spacing w:after="80"/>
      </w:pPr>
      <w:r>
        <w:t xml:space="preserve">• Supporting assets: r_syntax_population_flowchart.png, istanbul_population_growth.png.</w:t>
      </w:r>
    </w:p>
    <w:p>
      <w:pPr>
        <w:pStyle w:val="Heading1"/>
      </w:pPr>
      <w:r>
        <w:t xml:space="preserve">Audience Adaptation Notes</w:t>
      </w:r>
    </w:p>
    <w:p>
      <w:pPr>
        <w:spacing w:after="60"/>
      </w:pPr>
      <w:r>
        <w:t xml:space="preserve">Drawing on the accompanying guidance on audience analysis and data-visualisation considerations:</w:t>
      </w:r>
    </w:p>
    <w:p>
      <w:pPr>
        <w:spacing w:after="40"/>
      </w:pPr>
      <w:r>
        <w:rPr>
          <w:b/>
          <w:bCs/>
        </w:rPr>
        <w:t xml:space="preserve">Data literacy &amp; subject knowledge: </w:t>
      </w:r>
      <w:r>
        <w:t xml:space="preserve">Most participants will be analysts or junior planners with moderate R exposure. The skeleton therefore stays at the level of variables and basic arithmetic; geometric-rate discussion is presented as an optional enrichment rather than a required concept.</w:t>
      </w:r>
    </w:p>
    <w:p>
      <w:pPr>
        <w:spacing w:after="40"/>
      </w:pPr>
      <w:r>
        <w:rPr>
          <w:b/>
          <w:bCs/>
        </w:rPr>
        <w:t xml:space="preserve">Time span &amp; mixed audiences: </w:t>
      </w:r>
      <w:r>
        <w:t xml:space="preserve">The 1-page report is deliberately skim-friendly for executives (headline rate + chart + three takeaways). The notebooks retain full intermediate output for technical supervisors who will inspect code quality.</w:t>
      </w:r>
    </w:p>
    <w:p>
      <w:pPr>
        <w:spacing w:after="80"/>
      </w:pPr>
      <w:r>
        <w:rPr>
          <w:b/>
          <w:bCs/>
        </w:rPr>
        <w:t xml:space="preserve">Non-math / non-chart readers: </w:t>
      </w:r>
      <w:r>
        <w:t xml:space="preserve">The function’s printed narrative sentence (“grew by approximately X % each year”) supplies a prose pathway that does not require reading a table or axis.</w:t>
      </w:r>
    </w:p>
    <w:p>
      <w:pPr>
        <w:pStyle w:val="Heading1"/>
      </w:pPr>
      <w:r>
        <w:t xml:space="preserve">Recommended Use</w:t>
      </w:r>
    </w:p>
    <w:p>
      <w:pPr>
        <w:spacing w:after="40"/>
      </w:pPr>
      <w:r>
        <w:t xml:space="preserve">1. Learners complete the Practice Skeleton (target 45–60 min).</w:t>
      </w:r>
    </w:p>
    <w:p>
      <w:pPr>
        <w:spacing w:after="40"/>
      </w:pPr>
      <w:r>
        <w:t xml:space="preserve">2. They consult the Solution only after attempting each block.</w:t>
      </w:r>
    </w:p>
    <w:p>
      <w:pPr>
        <w:spacing w:after="40"/>
      </w:pPr>
      <w:r>
        <w:t xml:space="preserve">3. Instructors use the simulation cell live to illustrate sensitivity of the arithmetic rate to time-window length.</w:t>
      </w:r>
    </w:p>
    <w:p>
      <w:pPr>
        <w:spacing w:after="80"/>
      </w:pPr>
      <w:r>
        <w:t xml:space="preserve">4. The 1-page report can be handed to managers as evidence that the training produces immediately usable analytic artefacts.</w:t>
      </w:r>
    </w:p>
    <w:p>
      <w:pPr>
        <w:pStyle w:val="Heading1"/>
      </w:pPr>
      <w:r>
        <w:t xml:space="preserve">Next Steps</w:t>
      </w:r>
    </w:p>
    <w:p>
      <w:pPr>
        <w:spacing w:after="40"/>
      </w:pPr>
      <w:r>
        <w:t xml:space="preserve">The same scaffolding can be re-used for other megacities or for indicator series (housing stock, modal-share, etc.). A follow-on module could introduce dplyr pipelines and ggplot2 visualisations of multi-city growth trajectories.</w:t>
      </w:r>
    </w:p>
    <w:p>
      <w:pPr>
        <w:spacing w:before="200"/>
      </w:pPr>
      <w:r>
        <w:rPr>
          <w:i/>
          <w:iCs/>
        </w:rPr>
        <w:t xml:space="preserve">Please direct questions or requests for additional city data sets to the Analytics Training Unit.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Confidential — For training use  •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555555"/>
        <w:sz w:val="16"/>
        <w:szCs w:val="16"/>
      </w:rPr>
      <w:t xml:space="preserve">INTERNAL MEMORANDUM  —  UN Urban Planning / Data Capacity Building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0D7377"/>
      <w:sz w:val="26"/>
      <w:szCs w:val="26"/>
    </w:rPr>
  </w:style>
  <w:style w:type="paragraph" w:styleId="Heading2">
    <w:name w:val="Heading 2"/>
    <w:basedOn w:val="Normal"/>
    <w:next w:val="Normal"/>
    <w:pPr>
      <w:spacing w:after="60" w:before="160"/>
    </w:pPr>
    <w:rPr>
      <w:rFonts w:ascii="Calibri" w:cs="Calibri" w:eastAsia="Calibri" w:hAnsi="Calibri"/>
      <w:b/>
      <w:bCs/>
      <w:color w:val="14919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2026-08-19T14:44:51.777Z</dcterms:created>
  <dcterms:modified xsi:type="dcterms:W3CDTF">2026-08-19T14:44:51.779Z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