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50"/>
      </w:pPr>
      <w:r>
        <w:rPr>
          <w:sz w:val="17"/>
          <w:szCs w:val="17"/>
        </w:rPr>
        <w:t xml:space="preserve">The same municipal crime incident table used in the R-syntax project must now be turned into clear, audience-adapted graphics. Command needs quick visual answers: Which crime types dominate? Where is the high-volume tail? How does severity differ by type? Which cases attract media attention while remaining unsolved? ggplot2’s grammar of graphics supplies a consistent way to answer these questions.</w:t>
      </w:r>
    </w:p>
    <w:p>
      <w:pPr>
        <w:pStyle w:val="Heading1"/>
      </w:pPr>
      <w:r>
        <w:t xml:space="preserve">Solution Strategy</w:t>
      </w:r>
    </w:p>
    <w:p>
      <w:pPr>
        <w:spacing w:after="30"/>
      </w:pPr>
      <w:r>
        <w:rPr>
          <w:sz w:val="17"/>
          <w:szCs w:val="17"/>
        </w:rPr>
        <w:t xml:space="preserve">Follow the layered grammar: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Data + aesthetics (aes) map variables to x, y, fill, color, size.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Geoms (bar, histogram, boxplot, point, col) choose the visual mark.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Annotations (vline for the 15 k threshold, smooth trend) add decision context.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Themes + labs keep titles short and executive-friendly; simulation cells let the threshold change live.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sz w:val="17"/>
          <w:szCs w:val="17"/>
        </w:rPr>
        <w:t xml:space="preserve">Six core plots were produced (bar counts, histogram + threshold, severity boxplots, scatter with trend, priority split, mean monthly by type). Assault dominates frequency; Homicide/Drug Offense lead severity; the 15 000-incident line cleanly flags the high-priority tail; media volume rises with incidents and many high-volume points remain unsolved.</w:t>
      </w:r>
    </w:p>
    <w:p>
      <w:pPr>
        <w:spacing w:after="20" w:before="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ggplot2 pipeline" descr="Visualization pipeline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color w:val="555555"/>
          <w:sz w:val="14"/>
          <w:szCs w:val="14"/>
        </w:rPr>
        <w:t xml:space="preserve">Figure 1. ggplot2 visualization pipeline.</w:t>
      </w:r>
    </w:p>
    <w:p>
      <w:pPr>
        <w:spacing w:after="10" w:before="10"/>
        <w:jc w:val="center"/>
      </w:pPr>
      <w:r>
        <w:drawing>
          <wp:inline distT="0" distB="0" distL="0" distR="0">
            <wp:extent cx="2476500" cy="1524000"/>
            <wp:effectExtent t="0" r="0" b="0" l="0"/>
            <wp:docPr id="1" name="Bar" descr="Counts by type" title="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i/>
          <w:iCs/>
          <w:color w:val="555555"/>
          <w:sz w:val="13"/>
          <w:szCs w:val="13"/>
        </w:rPr>
        <w:t xml:space="preserve">Crime counts by type (Assault leads).</w:t>
      </w:r>
    </w:p>
    <w:p>
      <w:pPr>
        <w:spacing w:after="10" w:before="10"/>
        <w:jc w:val="center"/>
      </w:pPr>
      <w:r>
        <w:drawing>
          <wp:inline distT="0" distB="0" distL="0" distR="0">
            <wp:extent cx="2667000" cy="1428750"/>
            <wp:effectExtent t="0" r="0" b="0" l="0"/>
            <wp:docPr id="1" name="Hist" descr="Monthly distribution" title="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i/>
          <w:iCs/>
          <w:color w:val="555555"/>
          <w:sz w:val="13"/>
          <w:szCs w:val="13"/>
        </w:rPr>
        <w:t xml:space="preserve">Monthly-incident distribution with 15 k decision threshold.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ggplot2 maps data → aesthetics → geoms → annotations in a consistent grammar that scales from quick EDA to polished briefings.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A single threshold line on a histogram turns a distribution into an actionable priority rule for executives.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Boxplots and reordered bars answer “which types matter most for severity vs volume” at a glance.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Simulation (changing the threshold) lets analysts and commanders explore resource implications visually.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ggplot2 grammar of graphics for decision-ready crime visuals  •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5"/>
        <w:szCs w:val="15"/>
      </w:rPr>
      <w:t xml:space="preserve">Criminology ggplot2 Visualization  |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72bae5cc0cb8e6eeeb9fd50e0629cd1d463e93.png"/><Relationship Id="rId10" Type="http://schemas.openxmlformats.org/officeDocument/2006/relationships/image" Target="media/cc7bff36aa212b32ec3825a7350f6309aa85cc0e.png"/><Relationship Id="rId11" Type="http://schemas.openxmlformats.org/officeDocument/2006/relationships/image" Target="media/265caf095301ccfc4b91679a090dce6c408024f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2026-08-19T14:33:14.826Z</dcterms:created>
  <dcterms:modified xsi:type="dcterms:W3CDTF">2026-08-19T14:33:14.827Z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