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Applicability Checklist</w:t>
      </w:r>
    </w:p>
    <w:p>
      <w:pPr>
        <w:pStyle w:val="Heading2"/>
        <w:spacing w:after="300"/>
      </w:pPr>
      <w:r>
        <w:t xml:space="preserve">Implementing Chapter 1 (Correlation, Association &amp; the Yule–Simpson Paradox) in a Project</w:t>
      </w:r>
    </w:p>
    <w:p>
      <w:pPr>
        <w:spacing w:after="150"/>
      </w:pPr>
      <w:r>
        <w:rPr>
          <w:i/>
          <w:iCs/>
        </w:rPr>
        <w:t xml:space="preserve">Use this checklist whenever you are analyzing the relationship between an exposure/treatment (Z) and an outcome (Y) using observational or experimental data, before drawing conclusions or writing them up.</w:t>
      </w:r>
    </w:p>
    <w:p>
      <w:pPr>
        <w:pStyle w:val="Heading1"/>
        <w:spacing w:after="150" w:before="300"/>
      </w:pPr>
      <w:r>
        <w:t xml:space="preserve">Stage 1: Frame the question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clearly defined Z (treatment/exposure) and Y (outcome), and whether each is binary, continuous, or categorical?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identified whether the data come from a randomized controlled trial (RCT) or an observational study?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observational, have you listed plausible “lurking variables” (confounders) that could differ systematically between exposure groups?</w:t>
      </w:r>
    </w:p>
    <w:p>
      <w:pPr>
        <w:pStyle w:val="Heading1"/>
        <w:spacing w:after="150" w:before="300"/>
      </w:pPr>
      <w:r>
        <w:t xml:space="preserve">Stage 2: Compute marginal association measures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a binary Y, have you computed the 2x2 contingency table of counts (n11, n10, n01, n00)?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Risk difference (rd)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Risk ratio (rr)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Odds ratio (or)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 significance test (Fisher's exact test for small samples; chi-square for larger samples)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a continuous Y, have you fit a simple regression of Y on Z alone and recorded the coefficient, standard error, and p-value?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checked whether pr(Y=1|Z=1), pr(Y=1|Z=0) are small enough that or ≈ rr is a reasonable approximation, if you plan to use that shortcut?</w:t>
      </w:r>
    </w:p>
    <w:p>
      <w:pPr>
        <w:pStyle w:val="Heading1"/>
        <w:spacing w:after="150" w:before="300"/>
      </w:pPr>
      <w:r>
        <w:t xml:space="preserve">Stage 3: Stress-test with covariates / stratification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identified at least one candidate confounder X you can stratify on or adjust for?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computed the association measure (rd/rr/or, or regression coefficient) separately within each level/stratum of X?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compared the sign and magnitude of the marginal association to the stratum-specific associations?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Do all strata agree in sign with the marginal result? → lower confounding risk.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Does the sign flip between the marginal result and every stratum? → Yule–Simpson Paradox present; treat X as a confounder.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Does the magnitude change substantially even without a sign flip? → still worth reporting both.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separately checked whether X is associated with Z (does X predict who receives treatment?) and whether X is associated with Y within each treatment level (does X predict outcome regardless of treatment?)?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a covariate-adjusted regression is available, have you compared its treatment coefficient to the unadjusted (naive) regression coefficient and flagged any sign change or large magnitude shift?</w:t>
      </w:r>
    </w:p>
    <w:p>
      <w:pPr>
        <w:pStyle w:val="Heading1"/>
        <w:spacing w:after="150" w:before="300"/>
      </w:pPr>
      <w:r>
        <w:t xml:space="preserve">Stage 4: Interpret responsibly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avoided describing the marginal (unadjusted) association as “the effect” of Z on Y without qualification, especially in observational data?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a Yule–Simpson Paradox or substantial confounding was detected, have you reported the stratified/adjusted results as the primary finding, with the marginal result shown for context only?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explicitly stated that association measures (rd, rr, or, regression coefficients) describe statistical association, not proof of a causal effect, unless the data come from a properly randomized experiment or a justified causal-identification strategy?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documented which confounders were and were not available to control for, so readers can judge the risk of unmeasured (residual) confounding?</w:t>
      </w:r>
    </w:p>
    <w:p>
      <w:pPr>
        <w:pStyle w:val="Heading1"/>
        <w:spacing w:after="150" w:before="300"/>
      </w:pPr>
      <w:r>
        <w:t xml:space="preserve">Stage 5: Communicate and document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produced (or referenced) a simple diagram (e.g., X → Z, X → Y, Z → Y) summarizing the qualitative association structure, as in Figure 1.1 of the chapter?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saved the code/notebook used to compute all measures so the analysis is reproducible (see the companion Jupyter template)?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you flagged, in your write-up, that deeper causal-identification tools (propensity scores, instrumental variables, do-calculus, etc. — covered in later chapters) would be needed before making a causal claim from observational data?</w:t>
      </w:r>
    </w:p>
    <w:p>
      <w:pPr>
        <w:pStyle w:val="Heading1"/>
        <w:spacing w:after="150" w:before="300"/>
      </w:pPr>
      <w:r>
        <w:t xml:space="preserve">Quick red flags that should trigger a stratified re-analysis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Groups being compared have very different sizes or compositions (e.g., one group is much older, sicker, or more affluent).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Treatment assignment was not randomized and could plausibly correlate with severity, prior status, or selection into the group.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single aggregated statistic is being used to justify a policy or clinical decision without any subgroup checks.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Prior literature or domain knowledge suggests a known confounder that isn’t in your dataset.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2026-08-19T05:16:45.668Z</dcterms:created>
  <dcterms:modified xsi:type="dcterms:W3CDTF">2026-08-19T05:16:45.668Z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