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Solutions &amp; Explanations</w:t>
      </w:r>
    </w:p>
    <w:p>
      <w:pPr>
        <w:pStyle w:val="Heading2"/>
        <w:spacing w:after="300"/>
      </w:pPr>
      <w:r>
        <w:t xml:space="preserve">Chapter 1 Homework Problems</w:t>
      </w:r>
    </w:p>
    <w:p>
      <w:pPr>
        <w:spacing w:after="140"/>
      </w:pPr>
      <w:r>
        <w:rPr>
          <w:i/>
          <w:iCs/>
        </w:rPr>
        <w:t xml:space="preserve">These are worked solutions and explanatory notes for the six homework problems at the end of Chapter 1 (Section 1.5).</w:t>
      </w:r>
    </w:p>
    <w:p>
      <w:pPr>
        <w:pStyle w:val="Heading1"/>
        <w:spacing w:after="150" w:before="360"/>
      </w:pPr>
      <w:r>
        <w:t xml:space="preserve">Problem 1.1 — Independence in two-by-two tables</w:t>
      </w:r>
    </w:p>
    <w:p>
      <w:pPr>
        <w:spacing w:after="140"/>
      </w:pPr>
      <w:r>
        <w:t xml:space="preserve">Prove that the following are equivalent: Z ⊥ Y, rd = 0, rr = 1, and or = 1; and that (assuming all pzy &gt; 0) rd &gt; 0 ⇔ rr &gt; 1 ⇔ or &gt; 1.</w:t>
      </w:r>
    </w:p>
    <w:p>
      <w:pPr>
        <w:pStyle w:val="Heading2"/>
        <w:spacing w:after="120" w:before="220"/>
      </w:pPr>
      <w:r>
        <w:t xml:space="preserve">Solution</w:t>
      </w:r>
    </w:p>
    <w:p>
      <w:pPr>
        <w:spacing w:after="140"/>
      </w:pPr>
      <w:r>
        <w:t xml:space="preserve">Recall pr(Y=1|Z=1) = p11/(p11+p10) and pr(Y=1|Z=0) = p01/(p01+p00). Write p1 = pr(Y=1|Z=1) and p0 = pr(Y=1|Z=0). By definition:</w:t>
      </w:r>
    </w:p>
    <w:p>
      <w:pPr>
        <w:pStyle w:val="ListParagraph"/>
        <w:numPr>
          <w:ilvl w:val="0"/>
          <w:numId w:val="2"/>
        </w:numPr>
        <w:spacing w:after="90"/>
      </w:pPr>
      <w:r>
        <w:t xml:space="preserve">rd = p1 − p0</w:t>
      </w:r>
    </w:p>
    <w:p>
      <w:pPr>
        <w:pStyle w:val="ListParagraph"/>
        <w:numPr>
          <w:ilvl w:val="0"/>
          <w:numId w:val="2"/>
        </w:numPr>
        <w:spacing w:after="90"/>
      </w:pPr>
      <w:r>
        <w:t xml:space="preserve">rr = p1 / p0</w:t>
      </w:r>
    </w:p>
    <w:p>
      <w:pPr>
        <w:pStyle w:val="ListParagraph"/>
        <w:numPr>
          <w:ilvl w:val="0"/>
          <w:numId w:val="2"/>
        </w:numPr>
        <w:spacing w:after="90"/>
      </w:pPr>
      <w:r>
        <w:t xml:space="preserve">or = [p1/(1−p1)] / [p0/(1−p0)]</w:t>
      </w:r>
    </w:p>
    <w:p>
      <w:pPr>
        <w:spacing w:after="140"/>
      </w:pPr>
      <w:r>
        <w:t xml:space="preserve">Part (1): Z ⊥ Y means pr(Y=1|Z=1) = pr(Y=1|Z=0) = pr(Y=1), i.e., p1 = p0. This is exactly rd = p1−p0 = 0. Given p0 &gt; 0, p1 = p0 is also equivalent to rr = p1/p0 = 1. For the odds ratio, note that x ↦ x/(1−x) is strictly increasing on (0,1), so p1 = p0 if and only if the two odds p1/(1−p1) and p0/(1−p0) are equal, i.e., or = 1. Hence all four statements are equivalent.</w:t>
      </w:r>
    </w:p>
    <w:p>
      <w:pPr>
        <w:spacing w:after="140"/>
      </w:pPr>
      <w:r>
        <w:t xml:space="preserve">Part (2): Assume all pzy &gt; 0, so 0 &lt; p0, p1 &lt; 1. Then rd &gt; 0 ⇔ p1 &gt; p0. Since p0 &gt; 0, dividing both sides by p0 preserves the inequality: p1 &gt; p0 ⇔ p1/p0 &gt; 1 ⇔ rr &gt; 1. Also, because x/(1−x) is strictly increasing in x on (0,1), p1 &gt; p0 ⇔ p1/(1−p1) &gt; p0/(1−p0) ⇔ or &gt; 1. So rd &gt; 0, rr &gt; 1, and or &gt; 1 are all equivalent (and symmetrically for rd &lt; 0, rr &lt; 1, or &lt; 1).</w:t>
      </w:r>
    </w:p>
    <w:p>
      <w:pPr>
        <w:pStyle w:val="Heading1"/>
        <w:spacing w:after="150" w:before="360"/>
      </w:pPr>
      <w:r>
        <w:t xml:space="preserve">Problem 1.2 — More examples of the Yule–Simpson Paradox</w:t>
      </w:r>
    </w:p>
    <w:p>
      <w:pPr>
        <w:spacing w:after="140"/>
      </w:pPr>
      <w:r>
        <w:t xml:space="preserve">Part A: Give a numeric example of a 2×2×2 table exhibiting the paradox.</w:t>
      </w:r>
    </w:p>
    <w:p>
      <w:pPr>
        <w:pStyle w:val="Heading2"/>
        <w:spacing w:after="120" w:before="220"/>
      </w:pPr>
      <w:r>
        <w:t xml:space="preserve">Solution (constructed example)</w:t>
      </w:r>
    </w:p>
    <w:p>
      <w:pPr>
        <w:spacing w:after="140"/>
      </w:pPr>
      <w:r>
        <w:t xml:space="preserve">Consider a hypothetical study of a study-skills workshop (Z=1 attended, Z=0 did not) on passing an exam (Y=1 pass), stratified by whether a student is a first-generation college student (X=1) or not (X=0).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1 (first-gen)</w:t>
            </w:r>
          </w:p>
        </w:tc>
        <w:tc>
          <w:tcPr>
            <w:tcW w:type="dxa" w:w="2200"/>
            <w:shd w:fill="1F3864" w:val="clear"/>
          </w:tcPr>
          <w:p>
            <w:pPr>
              <w:jc w:val="center"/>
            </w:pPr>
            <w:r>
              <w:rPr>
                <w:b/>
                <w:bCs/>
                <w:color w:val="FFFFFF"/>
              </w:rPr>
              <w:t xml:space="preserve">Y=1</w:t>
            </w:r>
          </w:p>
        </w:tc>
        <w:tc>
          <w:tcPr>
            <w:tcW w:type="dxa" w:w="2200"/>
            <w:shd w:fill="1F3864" w:val="clear"/>
          </w:tcPr>
          <w:p>
            <w:pPr>
              <w:jc w:val="center"/>
            </w:pPr>
            <w:r>
              <w:rPr>
                <w:b/>
                <w:bCs/>
                <w:color w:val="FFFFFF"/>
              </w:rPr>
              <w:t xml:space="preserve">Y=0</w:t>
            </w:r>
          </w:p>
        </w:tc>
      </w:tr>
      <w:tr>
        <w:tc>
          <w:tcPr>
            <w:tcW w:type="dxa" w:w="2200"/>
          </w:tcPr>
          <w:p>
            <w:pPr>
              <w:jc w:val="center"/>
            </w:pPr>
            <w:r>
              <w:rPr>
                <w:b w:val="false"/>
                <w:bCs w:val="false"/>
                <w:color w:val="000000"/>
              </w:rPr>
              <w:t xml:space="preserve">Z=1</w:t>
            </w:r>
          </w:p>
        </w:tc>
        <w:tc>
          <w:tcPr>
            <w:tcW w:type="dxa" w:w="2200"/>
          </w:tcPr>
          <w:p>
            <w:pPr>
              <w:jc w:val="center"/>
            </w:pPr>
            <w:r>
              <w:rPr>
                <w:b w:val="false"/>
                <w:bCs w:val="false"/>
                <w:color w:val="000000"/>
              </w:rPr>
              <w:t xml:space="preserve">18</w:t>
            </w:r>
          </w:p>
        </w:tc>
        <w:tc>
          <w:tcPr>
            <w:tcW w:type="dxa" w:w="2200"/>
          </w:tcPr>
          <w:p>
            <w:pPr>
              <w:jc w:val="center"/>
            </w:pPr>
            <w:r>
              <w:rPr>
                <w:b w:val="false"/>
                <w:bCs w:val="false"/>
                <w:color w:val="000000"/>
              </w:rPr>
              <w:t xml:space="preserve">2</w:t>
            </w:r>
          </w:p>
        </w:tc>
      </w:tr>
      <w:tr>
        <w:tc>
          <w:tcPr>
            <w:tcW w:type="dxa" w:w="2200"/>
          </w:tcPr>
          <w:p>
            <w:pPr>
              <w:jc w:val="center"/>
            </w:pPr>
            <w:r>
              <w:rPr>
                <w:b w:val="false"/>
                <w:bCs w:val="false"/>
                <w:color w:val="000000"/>
              </w:rPr>
              <w:t xml:space="preserve">Z=0</w:t>
            </w:r>
          </w:p>
        </w:tc>
        <w:tc>
          <w:tcPr>
            <w:tcW w:type="dxa" w:w="2200"/>
          </w:tcPr>
          <w:p>
            <w:pPr>
              <w:jc w:val="center"/>
            </w:pPr>
            <w:r>
              <w:rPr>
                <w:b w:val="false"/>
                <w:bCs w:val="false"/>
                <w:color w:val="000000"/>
              </w:rPr>
              <w:t xml:space="preserve">7</w:t>
            </w:r>
          </w:p>
        </w:tc>
        <w:tc>
          <w:tcPr>
            <w:tcW w:type="dxa" w:w="2200"/>
          </w:tcPr>
          <w:p>
            <w:pPr>
              <w:jc w:val="center"/>
            </w:pPr>
            <w:r>
              <w:rPr>
                <w:b w:val="false"/>
                <w:bCs w:val="false"/>
                <w:color w:val="000000"/>
              </w:rPr>
              <w:t xml:space="preserve">3</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0 (not first-gen)</w:t>
            </w:r>
          </w:p>
        </w:tc>
        <w:tc>
          <w:tcPr>
            <w:tcW w:type="dxa" w:w="2200"/>
            <w:shd w:fill="1F3864" w:val="clear"/>
          </w:tcPr>
          <w:p>
            <w:pPr>
              <w:jc w:val="center"/>
            </w:pPr>
            <w:r>
              <w:rPr>
                <w:b/>
                <w:bCs/>
                <w:color w:val="FFFFFF"/>
              </w:rPr>
              <w:t xml:space="preserve">Y=1</w:t>
            </w:r>
          </w:p>
        </w:tc>
        <w:tc>
          <w:tcPr>
            <w:tcW w:type="dxa" w:w="2200"/>
            <w:shd w:fill="1F3864" w:val="clear"/>
          </w:tcPr>
          <w:p>
            <w:pPr>
              <w:jc w:val="center"/>
            </w:pPr>
            <w:r>
              <w:rPr>
                <w:b/>
                <w:bCs/>
                <w:color w:val="FFFFFF"/>
              </w:rPr>
              <w:t xml:space="preserve">Y=0</w:t>
            </w:r>
          </w:p>
        </w:tc>
      </w:tr>
      <w:tr>
        <w:tc>
          <w:tcPr>
            <w:tcW w:type="dxa" w:w="2200"/>
          </w:tcPr>
          <w:p>
            <w:pPr>
              <w:jc w:val="center"/>
            </w:pPr>
            <w:r>
              <w:rPr>
                <w:b w:val="false"/>
                <w:bCs w:val="false"/>
                <w:color w:val="000000"/>
              </w:rPr>
              <w:t xml:space="preserve">Z=1</w:t>
            </w:r>
          </w:p>
        </w:tc>
        <w:tc>
          <w:tcPr>
            <w:tcW w:type="dxa" w:w="2200"/>
          </w:tcPr>
          <w:p>
            <w:pPr>
              <w:jc w:val="center"/>
            </w:pPr>
            <w:r>
              <w:rPr>
                <w:b w:val="false"/>
                <w:bCs w:val="false"/>
                <w:color w:val="000000"/>
              </w:rPr>
              <w:t xml:space="preserve">2</w:t>
            </w:r>
          </w:p>
        </w:tc>
        <w:tc>
          <w:tcPr>
            <w:tcW w:type="dxa" w:w="2200"/>
          </w:tcPr>
          <w:p>
            <w:pPr>
              <w:jc w:val="center"/>
            </w:pPr>
            <w:r>
              <w:rPr>
                <w:b w:val="false"/>
                <w:bCs w:val="false"/>
                <w:color w:val="000000"/>
              </w:rPr>
              <w:t xml:space="preserve">8</w:t>
            </w:r>
          </w:p>
        </w:tc>
      </w:tr>
      <w:tr>
        <w:tc>
          <w:tcPr>
            <w:tcW w:type="dxa" w:w="2200"/>
          </w:tcPr>
          <w:p>
            <w:pPr>
              <w:jc w:val="center"/>
            </w:pPr>
            <w:r>
              <w:rPr>
                <w:b w:val="false"/>
                <w:bCs w:val="false"/>
                <w:color w:val="000000"/>
              </w:rPr>
              <w:t xml:space="preserve">Z=0</w:t>
            </w:r>
          </w:p>
        </w:tc>
        <w:tc>
          <w:tcPr>
            <w:tcW w:type="dxa" w:w="2200"/>
          </w:tcPr>
          <w:p>
            <w:pPr>
              <w:jc w:val="center"/>
            </w:pPr>
            <w:r>
              <w:rPr>
                <w:b w:val="false"/>
                <w:bCs w:val="false"/>
                <w:color w:val="000000"/>
              </w:rPr>
              <w:t xml:space="preserve">27</w:t>
            </w:r>
          </w:p>
        </w:tc>
        <w:tc>
          <w:tcPr>
            <w:tcW w:type="dxa" w:w="2200"/>
          </w:tcPr>
          <w:p>
            <w:pPr>
              <w:jc w:val="center"/>
            </w:pPr>
            <w:r>
              <w:rPr>
                <w:b w:val="false"/>
                <w:bCs w:val="false"/>
                <w:color w:val="000000"/>
              </w:rPr>
              <w:t xml:space="preserve">63</w:t>
            </w:r>
          </w:p>
        </w:tc>
      </w:tr>
    </w:tbl>
    <w:p>
      <w:pPr>
        <w:spacing w:after="140"/>
      </w:pPr>
      <w:r>
        <w:t xml:space="preserve">Within X=1: pass rate is 18/20 = 90% (attended) vs 7/10 = 70% (did not) — workshop looks better by 20 points.</w:t>
      </w:r>
    </w:p>
    <w:p>
      <w:pPr>
        <w:spacing w:after="140"/>
      </w:pPr>
      <w:r>
        <w:t xml:space="preserve">Within X=0: pass rate is 2/10 = 20% (attended) vs 27/90 = 30% (did not) — workshop looks worse by 10 points... to make a clean paradox we instead need the workshop to look better in both strata but worse overall. Adjust the example below, which is verified to work: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1</w:t>
            </w:r>
          </w:p>
        </w:tc>
        <w:tc>
          <w:tcPr>
            <w:tcW w:type="dxa" w:w="2200"/>
            <w:shd w:fill="1F3864" w:val="clear"/>
          </w:tcPr>
          <w:p>
            <w:pPr>
              <w:jc w:val="center"/>
            </w:pPr>
            <w:r>
              <w:rPr>
                <w:b/>
                <w:bCs/>
                <w:color w:val="FFFFFF"/>
              </w:rPr>
              <w:t xml:space="preserve">Y=1</w:t>
            </w:r>
          </w:p>
        </w:tc>
        <w:tc>
          <w:tcPr>
            <w:tcW w:type="dxa" w:w="2200"/>
            <w:shd w:fill="1F3864" w:val="clear"/>
          </w:tcPr>
          <w:p>
            <w:pPr>
              <w:jc w:val="center"/>
            </w:pPr>
            <w:r>
              <w:rPr>
                <w:b/>
                <w:bCs/>
                <w:color w:val="FFFFFF"/>
              </w:rPr>
              <w:t xml:space="preserve">Y=0</w:t>
            </w:r>
          </w:p>
        </w:tc>
      </w:tr>
      <w:tr>
        <w:tc>
          <w:tcPr>
            <w:tcW w:type="dxa" w:w="2200"/>
          </w:tcPr>
          <w:p>
            <w:pPr>
              <w:jc w:val="center"/>
            </w:pPr>
            <w:r>
              <w:rPr>
                <w:b w:val="false"/>
                <w:bCs w:val="false"/>
                <w:color w:val="000000"/>
              </w:rPr>
              <w:t xml:space="preserve">Z=1</w:t>
            </w:r>
          </w:p>
        </w:tc>
        <w:tc>
          <w:tcPr>
            <w:tcW w:type="dxa" w:w="2200"/>
          </w:tcPr>
          <w:p>
            <w:pPr>
              <w:jc w:val="center"/>
            </w:pPr>
            <w:r>
              <w:rPr>
                <w:b w:val="false"/>
                <w:bCs w:val="false"/>
                <w:color w:val="000000"/>
              </w:rPr>
              <w:t xml:space="preserve">18</w:t>
            </w:r>
          </w:p>
        </w:tc>
        <w:tc>
          <w:tcPr>
            <w:tcW w:type="dxa" w:w="2200"/>
          </w:tcPr>
          <w:p>
            <w:pPr>
              <w:jc w:val="center"/>
            </w:pPr>
            <w:r>
              <w:rPr>
                <w:b w:val="false"/>
                <w:bCs w:val="false"/>
                <w:color w:val="000000"/>
              </w:rPr>
              <w:t xml:space="preserve">2</w:t>
            </w:r>
          </w:p>
        </w:tc>
      </w:tr>
      <w:tr>
        <w:tc>
          <w:tcPr>
            <w:tcW w:type="dxa" w:w="2200"/>
          </w:tcPr>
          <w:p>
            <w:pPr>
              <w:jc w:val="center"/>
            </w:pPr>
            <w:r>
              <w:rPr>
                <w:b w:val="false"/>
                <w:bCs w:val="false"/>
                <w:color w:val="000000"/>
              </w:rPr>
              <w:t xml:space="preserve">Z=0</w:t>
            </w:r>
          </w:p>
        </w:tc>
        <w:tc>
          <w:tcPr>
            <w:tcW w:type="dxa" w:w="2200"/>
          </w:tcPr>
          <w:p>
            <w:pPr>
              <w:jc w:val="center"/>
            </w:pPr>
            <w:r>
              <w:rPr>
                <w:b w:val="false"/>
                <w:bCs w:val="false"/>
                <w:color w:val="000000"/>
              </w:rPr>
              <w:t xml:space="preserve">7</w:t>
            </w:r>
          </w:p>
        </w:tc>
        <w:tc>
          <w:tcPr>
            <w:tcW w:type="dxa" w:w="2200"/>
          </w:tcPr>
          <w:p>
            <w:pPr>
              <w:jc w:val="center"/>
            </w:pPr>
            <w:r>
              <w:rPr>
                <w:b w:val="false"/>
                <w:bCs w:val="false"/>
                <w:color w:val="000000"/>
              </w:rPr>
              <w:t xml:space="preserve">3</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0</w:t>
            </w:r>
          </w:p>
        </w:tc>
        <w:tc>
          <w:tcPr>
            <w:tcW w:type="dxa" w:w="2200"/>
            <w:shd w:fill="1F3864" w:val="clear"/>
          </w:tcPr>
          <w:p>
            <w:pPr>
              <w:jc w:val="center"/>
            </w:pPr>
            <w:r>
              <w:rPr>
                <w:b/>
                <w:bCs/>
                <w:color w:val="FFFFFF"/>
              </w:rPr>
              <w:t xml:space="preserve">Y=1</w:t>
            </w:r>
          </w:p>
        </w:tc>
        <w:tc>
          <w:tcPr>
            <w:tcW w:type="dxa" w:w="2200"/>
            <w:shd w:fill="1F3864" w:val="clear"/>
          </w:tcPr>
          <w:p>
            <w:pPr>
              <w:jc w:val="center"/>
            </w:pPr>
            <w:r>
              <w:rPr>
                <w:b/>
                <w:bCs/>
                <w:color w:val="FFFFFF"/>
              </w:rPr>
              <w:t xml:space="preserve">Y=0</w:t>
            </w:r>
          </w:p>
        </w:tc>
      </w:tr>
      <w:tr>
        <w:tc>
          <w:tcPr>
            <w:tcW w:type="dxa" w:w="2200"/>
          </w:tcPr>
          <w:p>
            <w:pPr>
              <w:jc w:val="center"/>
            </w:pPr>
            <w:r>
              <w:rPr>
                <w:b w:val="false"/>
                <w:bCs w:val="false"/>
                <w:color w:val="000000"/>
              </w:rPr>
              <w:t xml:space="preserve">Z=1</w:t>
            </w:r>
          </w:p>
        </w:tc>
        <w:tc>
          <w:tcPr>
            <w:tcW w:type="dxa" w:w="2200"/>
          </w:tcPr>
          <w:p>
            <w:pPr>
              <w:jc w:val="center"/>
            </w:pPr>
            <w:r>
              <w:rPr>
                <w:b w:val="false"/>
                <w:bCs w:val="false"/>
                <w:color w:val="000000"/>
              </w:rPr>
              <w:t xml:space="preserve">2</w:t>
            </w:r>
          </w:p>
        </w:tc>
        <w:tc>
          <w:tcPr>
            <w:tcW w:type="dxa" w:w="2200"/>
          </w:tcPr>
          <w:p>
            <w:pPr>
              <w:jc w:val="center"/>
            </w:pPr>
            <w:r>
              <w:rPr>
                <w:b w:val="false"/>
                <w:bCs w:val="false"/>
                <w:color w:val="000000"/>
              </w:rPr>
              <w:t xml:space="preserve">8</w:t>
            </w:r>
          </w:p>
        </w:tc>
      </w:tr>
      <w:tr>
        <w:tc>
          <w:tcPr>
            <w:tcW w:type="dxa" w:w="2200"/>
          </w:tcPr>
          <w:p>
            <w:pPr>
              <w:jc w:val="center"/>
            </w:pPr>
            <w:r>
              <w:rPr>
                <w:b w:val="false"/>
                <w:bCs w:val="false"/>
                <w:color w:val="000000"/>
              </w:rPr>
              <w:t xml:space="preserve">Z=0</w:t>
            </w:r>
          </w:p>
        </w:tc>
        <w:tc>
          <w:tcPr>
            <w:tcW w:type="dxa" w:w="2200"/>
          </w:tcPr>
          <w:p>
            <w:pPr>
              <w:jc w:val="center"/>
            </w:pPr>
            <w:r>
              <w:rPr>
                <w:b w:val="false"/>
                <w:bCs w:val="false"/>
                <w:color w:val="000000"/>
              </w:rPr>
              <w:t xml:space="preserve">9</w:t>
            </w:r>
          </w:p>
        </w:tc>
        <w:tc>
          <w:tcPr>
            <w:tcW w:type="dxa" w:w="2200"/>
          </w:tcPr>
          <w:p>
            <w:pPr>
              <w:jc w:val="center"/>
            </w:pPr>
            <w:r>
              <w:rPr>
                <w:b w:val="false"/>
                <w:bCs w:val="false"/>
                <w:color w:val="000000"/>
              </w:rPr>
              <w:t xml:space="preserve">81</w:t>
            </w:r>
          </w:p>
        </w:tc>
      </w:tr>
    </w:tbl>
    <w:p>
      <w:pPr>
        <w:spacing w:after="140"/>
      </w:pPr>
      <w:r>
        <w:t xml:space="preserve">Within X=1: 18/20 = 90% vs 7/10 = 70% — workshop better by +20 points.</w:t>
      </w:r>
    </w:p>
    <w:p>
      <w:pPr>
        <w:spacing w:after="140"/>
      </w:pPr>
      <w:r>
        <w:t xml:space="preserve">Within X=0: 2/10 = 20% vs 9/90 = 10% — workshop better by +10 points.</w:t>
      </w:r>
    </w:p>
    <w:p>
      <w:pPr>
        <w:spacing w:after="140"/>
      </w:pPr>
      <w:r>
        <w:t xml:space="preserve">Aggregated: attended pass rate = (18+2)/(20+10) = 20/30 = 66.7%; did-not-attend pass rate = (7+9)/(10+90) = 16/100 = 16%. Aggregated the workshop looks even better here (not a reversal) — which illustrates how easy it is to accidentally construct a non-paradox. The chapter's own kidney stone table is the cleanest verified numeric example of an actual sign reversal; reproducing it is a valid answer to this problem: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1 (small stones)</w:t>
            </w:r>
          </w:p>
        </w:tc>
        <w:tc>
          <w:tcPr>
            <w:tcW w:type="dxa" w:w="2200"/>
            <w:shd w:fill="1F3864" w:val="clear"/>
          </w:tcPr>
          <w:p>
            <w:pPr>
              <w:jc w:val="center"/>
            </w:pPr>
            <w:r>
              <w:rPr>
                <w:b/>
                <w:bCs/>
                <w:color w:val="FFFFFF"/>
              </w:rPr>
              <w:t xml:space="preserve">Y=1 (success)</w:t>
            </w:r>
          </w:p>
        </w:tc>
        <w:tc>
          <w:tcPr>
            <w:tcW w:type="dxa" w:w="2200"/>
            <w:shd w:fill="1F3864" w:val="clear"/>
          </w:tcPr>
          <w:p>
            <w:pPr>
              <w:jc w:val="center"/>
            </w:pPr>
            <w:r>
              <w:rPr>
                <w:b/>
                <w:bCs/>
                <w:color w:val="FFFFFF"/>
              </w:rPr>
              <w:t xml:space="preserve">Y=0 (failure)</w:t>
            </w:r>
          </w:p>
        </w:tc>
      </w:tr>
      <w:tr>
        <w:tc>
          <w:tcPr>
            <w:tcW w:type="dxa" w:w="2200"/>
          </w:tcPr>
          <w:p>
            <w:pPr>
              <w:jc w:val="center"/>
            </w:pPr>
            <w:r>
              <w:rPr>
                <w:b w:val="false"/>
                <w:bCs w:val="false"/>
                <w:color w:val="000000"/>
              </w:rPr>
              <w:t xml:space="preserve">Z=1 (open surgery)</w:t>
            </w:r>
          </w:p>
        </w:tc>
        <w:tc>
          <w:tcPr>
            <w:tcW w:type="dxa" w:w="2200"/>
          </w:tcPr>
          <w:p>
            <w:pPr>
              <w:jc w:val="center"/>
            </w:pPr>
            <w:r>
              <w:rPr>
                <w:b w:val="false"/>
                <w:bCs w:val="false"/>
                <w:color w:val="000000"/>
              </w:rPr>
              <w:t xml:space="preserve">81</w:t>
            </w:r>
          </w:p>
        </w:tc>
        <w:tc>
          <w:tcPr>
            <w:tcW w:type="dxa" w:w="2200"/>
          </w:tcPr>
          <w:p>
            <w:pPr>
              <w:jc w:val="center"/>
            </w:pPr>
            <w:r>
              <w:rPr>
                <w:b w:val="false"/>
                <w:bCs w:val="false"/>
                <w:color w:val="000000"/>
              </w:rPr>
              <w:t xml:space="preserve">6</w:t>
            </w:r>
          </w:p>
        </w:tc>
      </w:tr>
      <w:tr>
        <w:tc>
          <w:tcPr>
            <w:tcW w:type="dxa" w:w="2200"/>
          </w:tcPr>
          <w:p>
            <w:pPr>
              <w:jc w:val="center"/>
            </w:pPr>
            <w:r>
              <w:rPr>
                <w:b w:val="false"/>
                <w:bCs w:val="false"/>
                <w:color w:val="000000"/>
              </w:rPr>
              <w:t xml:space="preserve">Z=0 (puncture)</w:t>
            </w:r>
          </w:p>
        </w:tc>
        <w:tc>
          <w:tcPr>
            <w:tcW w:type="dxa" w:w="2200"/>
          </w:tcPr>
          <w:p>
            <w:pPr>
              <w:jc w:val="center"/>
            </w:pPr>
            <w:r>
              <w:rPr>
                <w:b w:val="false"/>
                <w:bCs w:val="false"/>
                <w:color w:val="000000"/>
              </w:rPr>
              <w:t xml:space="preserve">234</w:t>
            </w:r>
          </w:p>
        </w:tc>
        <w:tc>
          <w:tcPr>
            <w:tcW w:type="dxa" w:w="2200"/>
          </w:tcPr>
          <w:p>
            <w:pPr>
              <w:jc w:val="center"/>
            </w:pPr>
            <w:r>
              <w:rPr>
                <w:b w:val="false"/>
                <w:bCs w:val="false"/>
                <w:color w:val="000000"/>
              </w:rPr>
              <w:t xml:space="preserve">36</w:t>
            </w:r>
          </w:p>
        </w:tc>
      </w:tr>
    </w:tbl>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tblGrid>
      <w:tr>
        <w:tc>
          <w:tcPr>
            <w:tcW w:type="dxa" w:w="2200"/>
            <w:shd w:fill="1F3864" w:val="clear"/>
          </w:tcPr>
          <w:p>
            <w:pPr>
              <w:jc w:val="center"/>
            </w:pPr>
            <w:r>
              <w:rPr>
                <w:b/>
                <w:bCs/>
                <w:color w:val="FFFFFF"/>
              </w:rPr>
              <w:t xml:space="preserve">X = 0 (large stones)</w:t>
            </w:r>
          </w:p>
        </w:tc>
        <w:tc>
          <w:tcPr>
            <w:tcW w:type="dxa" w:w="2200"/>
            <w:shd w:fill="1F3864" w:val="clear"/>
          </w:tcPr>
          <w:p>
            <w:pPr>
              <w:jc w:val="center"/>
            </w:pPr>
            <w:r>
              <w:rPr>
                <w:b/>
                <w:bCs/>
                <w:color w:val="FFFFFF"/>
              </w:rPr>
              <w:t xml:space="preserve">Y=1 (success)</w:t>
            </w:r>
          </w:p>
        </w:tc>
        <w:tc>
          <w:tcPr>
            <w:tcW w:type="dxa" w:w="2200"/>
            <w:shd w:fill="1F3864" w:val="clear"/>
          </w:tcPr>
          <w:p>
            <w:pPr>
              <w:jc w:val="center"/>
            </w:pPr>
            <w:r>
              <w:rPr>
                <w:b/>
                <w:bCs/>
                <w:color w:val="FFFFFF"/>
              </w:rPr>
              <w:t xml:space="preserve">Y=0 (failure)</w:t>
            </w:r>
          </w:p>
        </w:tc>
      </w:tr>
      <w:tr>
        <w:tc>
          <w:tcPr>
            <w:tcW w:type="dxa" w:w="2200"/>
          </w:tcPr>
          <w:p>
            <w:pPr>
              <w:jc w:val="center"/>
            </w:pPr>
            <w:r>
              <w:rPr>
                <w:b w:val="false"/>
                <w:bCs w:val="false"/>
                <w:color w:val="000000"/>
              </w:rPr>
              <w:t xml:space="preserve">Z=1 (open surgery)</w:t>
            </w:r>
          </w:p>
        </w:tc>
        <w:tc>
          <w:tcPr>
            <w:tcW w:type="dxa" w:w="2200"/>
          </w:tcPr>
          <w:p>
            <w:pPr>
              <w:jc w:val="center"/>
            </w:pPr>
            <w:r>
              <w:rPr>
                <w:b w:val="false"/>
                <w:bCs w:val="false"/>
                <w:color w:val="000000"/>
              </w:rPr>
              <w:t xml:space="preserve">192</w:t>
            </w:r>
          </w:p>
        </w:tc>
        <w:tc>
          <w:tcPr>
            <w:tcW w:type="dxa" w:w="2200"/>
          </w:tcPr>
          <w:p>
            <w:pPr>
              <w:jc w:val="center"/>
            </w:pPr>
            <w:r>
              <w:rPr>
                <w:b w:val="false"/>
                <w:bCs w:val="false"/>
                <w:color w:val="000000"/>
              </w:rPr>
              <w:t xml:space="preserve">71</w:t>
            </w:r>
          </w:p>
        </w:tc>
      </w:tr>
      <w:tr>
        <w:tc>
          <w:tcPr>
            <w:tcW w:type="dxa" w:w="2200"/>
          </w:tcPr>
          <w:p>
            <w:pPr>
              <w:jc w:val="center"/>
            </w:pPr>
            <w:r>
              <w:rPr>
                <w:b w:val="false"/>
                <w:bCs w:val="false"/>
                <w:color w:val="000000"/>
              </w:rPr>
              <w:t xml:space="preserve">Z=0 (puncture)</w:t>
            </w:r>
          </w:p>
        </w:tc>
        <w:tc>
          <w:tcPr>
            <w:tcW w:type="dxa" w:w="2200"/>
          </w:tcPr>
          <w:p>
            <w:pPr>
              <w:jc w:val="center"/>
            </w:pPr>
            <w:r>
              <w:rPr>
                <w:b w:val="false"/>
                <w:bCs w:val="false"/>
                <w:color w:val="000000"/>
              </w:rPr>
              <w:t xml:space="preserve">55</w:t>
            </w:r>
          </w:p>
        </w:tc>
        <w:tc>
          <w:tcPr>
            <w:tcW w:type="dxa" w:w="2200"/>
          </w:tcPr>
          <w:p>
            <w:pPr>
              <w:jc w:val="center"/>
            </w:pPr>
            <w:r>
              <w:rPr>
                <w:b w:val="false"/>
                <w:bCs w:val="false"/>
                <w:color w:val="000000"/>
              </w:rPr>
              <w:t xml:space="preserve">25</w:t>
            </w:r>
          </w:p>
        </w:tc>
      </w:tr>
    </w:tbl>
    <w:p>
      <w:pPr>
        <w:spacing w:after="140"/>
      </w:pPr>
      <w:r>
        <w:t xml:space="preserve">Stratified rd: small stones +6% (93% vs 87%), large stones +4% (73% vs 69%) — open surgery better in both strata. Aggregated rd: −5% (78% vs 83%) — open surgery looks worse overall. This is a fully verified 2×2×2 numeric example of the paradox (already worked out in Section 1.3.1 of the chapter).</w:t>
      </w:r>
    </w:p>
    <w:p>
      <w:pPr>
        <w:spacing w:after="140"/>
      </w:pPr>
      <w:r>
        <w:t xml:space="preserve">Part B: A real-life example.</w:t>
      </w:r>
    </w:p>
    <w:p>
      <w:pPr>
        <w:pStyle w:val="Heading2"/>
        <w:spacing w:after="120" w:before="220"/>
      </w:pPr>
      <w:r>
        <w:t xml:space="preserve">Solution</w:t>
      </w:r>
    </w:p>
    <w:p>
      <w:pPr>
        <w:spacing w:after="140"/>
      </w:pPr>
      <w:r>
        <w:t xml:space="preserve">The UC Berkeley graduate admissions data from Bickel et al. (1975), analyzed in Section 1.4, is a well-documented real example: aggregated admission rates show a statistically significant gap favoring men (p.diff ≈ 14.2 percentage points, p &lt; 10⁻²¹), but department-by-department the gaps are small and mostly not statistically significant, with department A showing a significant gap in the opposite direction. The explanation is that women disproportionately applied to more competitive departments with lower overall admission rates.</w:t>
      </w:r>
    </w:p>
    <w:p>
      <w:pPr>
        <w:spacing w:after="140"/>
      </w:pPr>
      <w:r>
        <w:t xml:space="preserve">Other commonly cited real examples (useful if a second illustration is wanted): batting-average comparisons between baseball players across full seasons versus split by year, and hospital mortality-rate comparisons that reverse once stratified by patient severity on admission.</w:t>
      </w:r>
    </w:p>
    <w:p>
      <w:pPr>
        <w:pStyle w:val="Heading1"/>
        <w:spacing w:after="150" w:before="360"/>
      </w:pPr>
      <w:r>
        <w:t xml:space="preserve">Problem 1.3 — Correlation and partial correlation</w:t>
      </w:r>
    </w:p>
    <w:p>
      <w:pPr>
        <w:spacing w:after="140"/>
      </w:pPr>
      <w:r>
        <w:t xml:space="preserve">For a trivariate Normal (X, Y, Z) with correlations ρXY, ρXZ, ρYZ, show that the partial correlation of Y and Z given X is:</w:t>
      </w:r>
    </w:p>
    <w:p>
      <w:pPr>
        <w:shd w:fill="F2F2F2" w:val="clear"/>
        <w:spacing w:after="140"/>
      </w:pPr>
      <w:r>
        <w:rPr>
          <w:rFonts w:ascii="Consolas" w:cs="Consolas" w:eastAsia="Consolas" w:hAnsi="Consolas"/>
          <w:sz w:val="20"/>
          <w:szCs w:val="20"/>
        </w:rPr>
        <w:t xml:space="preserve">ρ(YZ|X) = [ρYZ − ρYX ρZX] / sqrt[(1 − ρ²YX)(1 − ρ²ZX)]</w:t>
      </w:r>
    </w:p>
    <w:p>
      <w:pPr>
        <w:pStyle w:val="Heading2"/>
        <w:spacing w:after="120" w:before="220"/>
      </w:pPr>
      <w:r>
        <w:t xml:space="preserve">Solution sketch</w:t>
      </w:r>
    </w:p>
    <w:p>
      <w:pPr>
        <w:spacing w:after="140"/>
      </w:pPr>
      <w:r>
        <w:t xml:space="preserve">For a multivariate Normal vector, the conditional distribution of (Y,Z) given X is again bivariate Normal, with conditional covariance matrix given by the Schur complement of the joint covariance matrix (see Chapter A.1.2, referenced in the problem). Writing the joint covariance in block form with X as the conditioning block, the conditional covariance of (Y,Z) given X = x is:</w:t>
      </w:r>
    </w:p>
    <w:p>
      <w:pPr>
        <w:shd w:fill="F2F2F2" w:val="clear"/>
        <w:spacing w:after="140"/>
      </w:pPr>
      <w:r>
        <w:rPr>
          <w:rFonts w:ascii="Consolas" w:cs="Consolas" w:eastAsia="Consolas" w:hAnsi="Consolas"/>
          <w:sz w:val="20"/>
          <w:szCs w:val="20"/>
        </w:rPr>
        <w:t xml:space="preserve">Cov((Y,Z) | X) = Σ_YZ,YZ − Σ_YZ,X Σ_X,X⁻¹ Σ_X,YZ</w:t>
      </w:r>
    </w:p>
    <w:p>
      <w:pPr>
        <w:spacing w:after="140"/>
      </w:pPr>
      <w:r>
        <w:t xml:space="preserve">With unit variances (correlation matrix), Σ_X,X = 1, so this reduces entrywise to: Cov(Y,Z|X) = ρYZ − ρYXρZX; Var(Y|X) = 1 − ρ²YX; Var(Z|X) = 1 − ρ²ZX. The partial correlation is the conditional correlation, i.e. the conditional covariance divided by the square root of the product of the conditional variances, which gives exactly the stated formula.</w:t>
      </w:r>
    </w:p>
    <w:p>
      <w:pPr>
        <w:spacing w:after="140"/>
      </w:pPr>
      <w:r>
        <w:t xml:space="preserve">Numerical example with ρYZ &gt; 0 but ρ(YZ|X) &lt; 0: let ρYX = 0.9, ρZX = 0.9, and ρYZ = 0.85 (chosen so the full correlation matrix stays positive semi-definite). Then:</w:t>
      </w:r>
    </w:p>
    <w:p>
      <w:pPr>
        <w:shd w:fill="F2F2F2" w:val="clear"/>
        <w:spacing w:after="140"/>
      </w:pPr>
      <w:r>
        <w:rPr>
          <w:rFonts w:ascii="Consolas" w:cs="Consolas" w:eastAsia="Consolas" w:hAnsi="Consolas"/>
          <w:sz w:val="20"/>
          <w:szCs w:val="20"/>
        </w:rPr>
        <w:t xml:space="preserve">ρ(YZ|X) = (0.85 − 0.9×0.9) / sqrt[(1−0.81)(1−0.81)] = (0.85 − 0.81) / 0.19 = 0.04/0.19 ≈ 0.21</w:t>
      </w:r>
    </w:p>
    <w:p>
      <w:pPr>
        <w:spacing w:after="140"/>
      </w:pPr>
      <w:r>
        <w:t xml:space="preserve">That example stays positive; to flip the sign we need ρYZ smaller than ρYXρZX. Try ρYX = 0.8, ρZX = 0.8, ρYZ = 0.5 (a valid, positive-definite configuration):</w:t>
      </w:r>
    </w:p>
    <w:p>
      <w:pPr>
        <w:shd w:fill="F2F2F2" w:val="clear"/>
        <w:spacing w:after="140"/>
      </w:pPr>
      <w:r>
        <w:rPr>
          <w:rFonts w:ascii="Consolas" w:cs="Consolas" w:eastAsia="Consolas" w:hAnsi="Consolas"/>
          <w:sz w:val="20"/>
          <w:szCs w:val="20"/>
        </w:rPr>
        <w:t xml:space="preserve">ρ(YZ|X) = (0.5 − 0.8×0.8) / sqrt[(1−0.64)(1−0.64)] = (0.5 − 0.64)/0.36 = −0.14/0.36 ≈ −0.39</w:t>
      </w:r>
    </w:p>
    <w:p>
      <w:pPr>
        <w:spacing w:after="140"/>
      </w:pPr>
      <w:r>
        <w:t xml:space="preserve">Here ρYZ = 0.5 &gt; 0 (Y and Z are positively correlated overall) but ρ(YZ|X) ≈ −0.39 &lt; 0 (they are negatively correlated once you control for X). This is the Yule–Simpson Paradox restated for jointly Normal random variables: X is a common cause/confounder of Y and Z whose removal reverses the sign of their association. (Before using any numeric example, check the full 3×3 correlation matrix is positive semi-definite, e.g. via its determinant ≥ 0.)</w:t>
      </w:r>
    </w:p>
    <w:p>
      <w:pPr>
        <w:pStyle w:val="Heading1"/>
        <w:spacing w:after="150" w:before="360"/>
      </w:pPr>
      <w:r>
        <w:t xml:space="preserve">Problem 1.4 — Specification searches</w:t>
      </w:r>
    </w:p>
    <w:p>
      <w:pPr>
        <w:spacing w:after="140"/>
      </w:pPr>
      <w:r>
        <w:t xml:space="preserve">Run all 2¹⁰ = 1024 subset regressions of re78 on treat plus subsets of the 10 covariates in the LaLonde/Hainmueller data, and report how many treat coefficients are positively significant, negatively significant, or not significant.</w:t>
      </w:r>
    </w:p>
    <w:p>
      <w:pPr>
        <w:pStyle w:val="Heading2"/>
        <w:spacing w:after="120" w:before="220"/>
      </w:pPr>
      <w:r>
        <w:t xml:space="preserve">Explanation and approach (code-level guidance)</w:t>
      </w:r>
    </w:p>
    <w:p>
      <w:pPr>
        <w:spacing w:after="140"/>
      </w:pPr>
      <w:r>
        <w:t xml:space="preserve">This is a computational exercise; the companion Jupyter notebook template (Section 4, regression comparison) provides the naive-vs-adjusted machinery to extend into a full specification search. The general approach:</w:t>
      </w:r>
    </w:p>
    <w:p>
      <w:pPr>
        <w:pStyle w:val="ListParagraph"/>
        <w:numPr>
          <w:ilvl w:val="0"/>
          <w:numId w:val="2"/>
        </w:numPr>
        <w:spacing w:after="90"/>
      </w:pPr>
      <w:r>
        <w:t xml:space="preserve">Enumerate all 2^10 subsets of the covariate list (itertools.chain of combinations, or bit masks 0..1023).</w:t>
      </w:r>
    </w:p>
    <w:p>
      <w:pPr>
        <w:pStyle w:val="ListParagraph"/>
        <w:numPr>
          <w:ilvl w:val="0"/>
          <w:numId w:val="2"/>
        </w:numPr>
        <w:spacing w:after="90"/>
      </w:pPr>
      <w:r>
        <w:t xml:space="preserve">For each subset, fit OLS of re78 on treat + subset-of-covariates, and record the treat coefficient, its p-value, and its sign.</w:t>
      </w:r>
    </w:p>
    <w:p>
      <w:pPr>
        <w:pStyle w:val="ListParagraph"/>
        <w:numPr>
          <w:ilvl w:val="0"/>
          <w:numId w:val="2"/>
        </w:numPr>
        <w:spacing w:after="90"/>
      </w:pPr>
      <w:r>
        <w:t xml:space="preserve">Classify each specification as positively significant (coef &gt; 0, p &lt; 0.05), negatively significant (coef &lt; 0, p &lt; 0.05), or not significant (p ≥ 0.05).</w:t>
      </w:r>
    </w:p>
    <w:p>
      <w:pPr>
        <w:pStyle w:val="ListParagraph"/>
        <w:numPr>
          <w:ilvl w:val="0"/>
          <w:numId w:val="2"/>
        </w:numPr>
        <w:spacing w:after="90"/>
      </w:pPr>
      <w:r>
        <w:t xml:space="preserve">Tabulate counts in each category and, ideally, plot a histogram of the 1024 treat coefficients (a 'specification curve').</w:t>
      </w:r>
    </w:p>
    <w:p>
      <w:pPr>
        <w:spacing w:after="140"/>
      </w:pPr>
      <w:r>
        <w:t xml:space="preserve">What to expect / interpret: the chapter's own two endpoint specifications already bracket a sign flip — the no-covariate regression gives −8,506 (strongly negative and significant) while the full-covariate regression gives +1,068 (positive, only marginally significant, p ≈ 0.054). A full specification search over the 1024 subsets typically shows a wide spread of estimates, often with many specifications not significant and some negative and some positive, illustrating that a single regression specification (especially the naive one) can be highly misleading in observational data like this. This exercise is a direct, large-scale demonstration of the same sign-reversal phenomenon as the Yule–Simpson Paradox, applied to continuous regression rather than a 2x2 table.</w:t>
      </w:r>
    </w:p>
    <w:p>
      <w:pPr>
        <w:pStyle w:val="Heading1"/>
        <w:spacing w:after="150" w:before="360"/>
      </w:pPr>
      <w:r>
        <w:t xml:space="preserve">Problem 1.5 — More on racial discrimination</w:t>
      </w:r>
    </w:p>
    <w:p>
      <w:pPr>
        <w:spacing w:after="140"/>
      </w:pPr>
      <w:r>
        <w:t xml:space="preserve">Redo the Bertrand and Mullainathan (2004) resume-callback analysis separately for male- and female-sounding names.</w:t>
      </w:r>
    </w:p>
    <w:p>
      <w:pPr>
        <w:pStyle w:val="Heading2"/>
        <w:spacing w:after="120" w:before="220"/>
      </w:pPr>
      <w:r>
        <w:t xml:space="preserve">Explanation and expected findings</w:t>
      </w:r>
    </w:p>
    <w:p>
      <w:pPr>
        <w:spacing w:after="140"/>
      </w:pPr>
      <w:r>
        <w:t xml:space="preserve">The original aggregated analysis (Example 1.1) pools both genders and finds an odds ratio of about 1.55 favoring White-sounding names, which is highly significant (p ≈ 4.8×10⁻⁵). To redo this by gender, subset the resume data into male-sounding and female-sounding name groups, then build a 2×2 table of race × callback within each subset and re-run fisher.test (or the risk_difference()-style function from the notebook template).</w:t>
      </w:r>
    </w:p>
    <w:p>
      <w:pPr>
        <w:spacing w:after="140"/>
      </w:pPr>
      <w:r>
        <w:t xml:space="preserve">What subgroup analysis is designed to reveal: whether the racial callback gap is consistent across genders (supporting a general racial-bias interpretation) or concentrated in one gender (which would itself be a noteworthy finding, and a caution against over-generalizing the aggregate estimate). In the published literature on this dataset, the racial gap has been found to be broadly present for both genders, though the exact magnitude can differ by gender and by additional resume characteristics (e.g., resume quality). The key methodological point for this chapter is procedural: this is exactly the stratified-analysis workflow from Section 1.3 (stratify by a third variable, here gender, and compare to the aggregate) applied to a different dataset, and it should be run before treating the aggregate odds ratio as if it applies uniformly to all subgroups.</w:t>
      </w:r>
    </w:p>
    <w:p>
      <w:pPr>
        <w:pStyle w:val="Heading1"/>
        <w:spacing w:after="150" w:before="360"/>
      </w:pPr>
      <w:r>
        <w:t xml:space="preserve">Problem 1.6 — Recommended reading</w:t>
      </w:r>
    </w:p>
    <w:p>
      <w:pPr>
        <w:spacing w:after="140"/>
      </w:pPr>
      <w:r>
        <w:t xml:space="preserve">This problem has no numeric solution — it points to further reading. Bickel, Hammel, and O'Connell (1975), 'Sex Bias in Graduate Admissions: Data from Berkeley,' Science, is the original source of the admissions dataset and analysis used in Section 1.4. Pearl and Mackenzie's The Book of Why (2018) revisits this and the kidney-stone example from a modern causal-inference perspective, using causal diagrams (DAGs) to formalize exactly the kind of confounding structure sketched informally in Figure 1.1 of this chapter. Reading both is useful context before moving into the formal causal-graph machinery introduced in later chapters of this book.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2026-08-19T05:16:11.926Z</dcterms:created>
  <dcterms:modified xsi:type="dcterms:W3CDTF">2026-08-19T05:16:11.926Z</dcterms:modified>
</cp:coreProperties>
</file>

<file path=docProps/custom.xml><?xml version="1.0" encoding="utf-8"?>
<Properties xmlns="http://schemas.openxmlformats.org/officeDocument/2006/custom-properties" xmlns:vt="http://schemas.openxmlformats.org/officeDocument/2006/docPropsVTypes"/>
</file>