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/>
      </w:pPr>
      <w:r>
        <w:t xml:space="preserve">Top 10 Practical Applications</w:t>
      </w:r>
    </w:p>
    <w:p>
      <w:pPr>
        <w:pStyle w:val="Heading2"/>
        <w:spacing w:after="300"/>
      </w:pPr>
      <w:r>
        <w:t xml:space="preserve">Applying Chapter 1's Association Measures &amp; Yule–Simpson Paradox to Real Projects</w:t>
      </w:r>
    </w:p>
    <w:p>
      <w:pPr>
        <w:spacing w:after="120"/>
      </w:pPr>
      <w:r>
        <w:rPr>
          <w:i/>
          <w:iCs/>
        </w:rPr>
        <w:t xml:space="preserve">Each application below maps directly to a tool from the chapter: 2x2 contingency-table measures (rd, rr, or), stratified analysis, and covariate-adjusted regression.</w:t>
      </w:r>
    </w:p>
    <w:p>
      <w:pPr>
        <w:pStyle w:val="Heading2"/>
        <w:spacing w:after="120" w:before="300"/>
      </w:pPr>
      <w:r>
        <w:t xml:space="preserve">1. A/B testing and product analytics</w:t>
      </w:r>
    </w:p>
    <w:p>
      <w:pPr>
        <w:spacing w:after="120"/>
      </w:pPr>
      <w:r>
        <w:t xml:space="preserve">Companies routinely compute risk differences/lifts between a treatment (new feature) and control group. Segment-level Simpson's Paradox is common: a feature can look worse overall but better in every user segment (e.g., new vs. returning users) if segment mix differs between arms.</w:t>
      </w:r>
    </w:p>
    <w:p>
      <w:pPr>
        <w:spacing w:after="200"/>
      </w:pPr>
      <w:r>
        <w:rPr>
          <w:b/>
          <w:bCs/>
        </w:rPr>
        <w:t xml:space="preserve">How to apply it: </w:t>
      </w:r>
      <w:r>
        <w:t xml:space="preserve">Always report lift by major user segment, not just the aggregate metric, and check that randomization balanced segment composition.</w:t>
      </w:r>
    </w:p>
    <w:p>
      <w:pPr>
        <w:pStyle w:val="Heading2"/>
        <w:spacing w:after="120" w:before="300"/>
      </w:pPr>
      <w:r>
        <w:t xml:space="preserve">2. Clinical trial subgroup and observational drug-safety analysis</w:t>
      </w:r>
    </w:p>
    <w:p>
      <w:pPr>
        <w:spacing w:after="120"/>
      </w:pPr>
      <w:r>
        <w:t xml:space="preserve">The kidney stone example is itself medical. Drug efficacy or adverse-event rates estimated from observational health-records data are routinely confounded by disease severity, exactly as in the chapter's example (confounding by indication).</w:t>
      </w:r>
    </w:p>
    <w:p>
      <w:pPr>
        <w:spacing w:after="200"/>
      </w:pPr>
      <w:r>
        <w:rPr>
          <w:b/>
          <w:bCs/>
        </w:rPr>
        <w:t xml:space="preserve">How to apply it: </w:t>
      </w:r>
      <w:r>
        <w:t xml:space="preserve">Stratify by severity/comorbidity indices before comparing treatments; compare stratified to marginal risk differences.</w:t>
      </w:r>
    </w:p>
    <w:p>
      <w:pPr>
        <w:pStyle w:val="Heading2"/>
        <w:spacing w:after="120" w:before="300"/>
      </w:pPr>
      <w:r>
        <w:t xml:space="preserve">3. Hiring, promotion, and pay-equity audits</w:t>
      </w:r>
    </w:p>
    <w:p>
      <w:pPr>
        <w:spacing w:after="120"/>
      </w:pPr>
      <w:r>
        <w:t xml:space="preserve">The Berkeley admissions example is the canonical template: aggregate admission/hire/promotion rates by gender or race can show a gap that shrinks, disappears, or reverses once stratified by department, role, or seniority level.</w:t>
      </w:r>
    </w:p>
    <w:p>
      <w:pPr>
        <w:spacing w:after="200"/>
      </w:pPr>
      <w:r>
        <w:rPr>
          <w:b/>
          <w:bCs/>
        </w:rPr>
        <w:t xml:space="preserve">How to apply it: </w:t>
      </w:r>
      <w:r>
        <w:t xml:space="preserve">Run department/role-level breakdowns before concluding discrimination (or its absence) from an aggregate hiring-rate gap; also check whether the stratifying variable is itself downstream of bias.</w:t>
      </w:r>
    </w:p>
    <w:p>
      <w:pPr>
        <w:pStyle w:val="Heading2"/>
        <w:spacing w:after="120" w:before="300"/>
      </w:pPr>
      <w:r>
        <w:t xml:space="preserve">4. Marketing attribution and channel effectiveness</w:t>
      </w:r>
    </w:p>
    <w:p>
      <w:pPr>
        <w:spacing w:after="120"/>
      </w:pPr>
      <w:r>
        <w:t xml:space="preserve">A marketing channel can appear to underperform in aggregate while outperforming within every customer segment, if higher-value segments are simply underrepresented in that channel's traffic.</w:t>
      </w:r>
    </w:p>
    <w:p>
      <w:pPr>
        <w:spacing w:after="200"/>
      </w:pPr>
      <w:r>
        <w:rPr>
          <w:b/>
          <w:bCs/>
        </w:rPr>
        <w:t xml:space="preserve">How to apply it: </w:t>
      </w:r>
      <w:r>
        <w:t xml:space="preserve">Compute channel ROI within customer segments (e.g., by acquisition cohort or geography) before reallocating budget.</w:t>
      </w:r>
    </w:p>
    <w:p>
      <w:pPr>
        <w:pStyle w:val="Heading2"/>
        <w:spacing w:after="120" w:before="300"/>
      </w:pPr>
      <w:r>
        <w:t xml:space="preserve">5. Credit scoring and loan approval fairness reviews</w:t>
      </w:r>
    </w:p>
    <w:p>
      <w:pPr>
        <w:spacing w:after="120"/>
      </w:pPr>
      <w:r>
        <w:t xml:space="preserve">Approval-rate or default-rate comparisons across demographic groups are highly sensitive to confounding by income, credit history, or loan type — the same rd/rr/or tools and stratification logic from the chapter apply directly.</w:t>
      </w:r>
    </w:p>
    <w:p>
      <w:pPr>
        <w:spacing w:after="200"/>
      </w:pPr>
      <w:r>
        <w:rPr>
          <w:b/>
          <w:bCs/>
        </w:rPr>
        <w:t xml:space="preserve">How to apply it: </w:t>
      </w:r>
      <w:r>
        <w:t xml:space="preserve">Report odds ratios of default/approval within strata of key underwriting variables, and flag any sign reversal versus the aggregate odds ratio.</w:t>
      </w:r>
    </w:p>
    <w:p>
      <w:pPr>
        <w:pStyle w:val="Heading2"/>
        <w:spacing w:after="120" w:before="300"/>
      </w:pPr>
      <w:r>
        <w:t xml:space="preserve">6. Public health and epidemiological surveillance</w:t>
      </w:r>
    </w:p>
    <w:p>
      <w:pPr>
        <w:spacing w:after="120"/>
      </w:pPr>
      <w:r>
        <w:t xml:space="preserve">Comparing disease incidence, vaccination effectiveness, or mortality rates across regions or time periods is prone to age confounding (e.g., a region with an older population can show higher raw mortality despite better age-specific outcomes).</w:t>
      </w:r>
    </w:p>
    <w:p>
      <w:pPr>
        <w:spacing w:after="200"/>
      </w:pPr>
      <w:r>
        <w:rPr>
          <w:b/>
          <w:bCs/>
        </w:rPr>
        <w:t xml:space="preserve">How to apply it: </w:t>
      </w:r>
      <w:r>
        <w:t xml:space="preserve">Use age-standardized (stratified) rates rather than crude rates; this is a textbook application of Section 1.3–1.4's logic.</w:t>
      </w:r>
    </w:p>
    <w:p>
      <w:pPr>
        <w:pStyle w:val="Heading2"/>
        <w:spacing w:after="120" w:before="300"/>
      </w:pPr>
      <w:r>
        <w:t xml:space="preserve">7. Sports and performance analytics</w:t>
      </w:r>
    </w:p>
    <w:p>
      <w:pPr>
        <w:spacing w:after="120"/>
      </w:pPr>
      <w:r>
        <w:t xml:space="preserve">A player's aggregate statistic (e.g., batting average, shooting percentage) can be worse than a peer's overall while being better in every situational split (e.g., vs. left- and right-handed opponents) — a well-known real Simpson's Paradox case.</w:t>
      </w:r>
    </w:p>
    <w:p>
      <w:pPr>
        <w:spacing w:after="200"/>
      </w:pPr>
      <w:r>
        <w:rPr>
          <w:b/>
          <w:bCs/>
        </w:rPr>
        <w:t xml:space="preserve">How to apply it: </w:t>
      </w:r>
      <w:r>
        <w:t xml:space="preserve">When comparing two players or strategies, check performance within matched situational strata, not just season totals.</w:t>
      </w:r>
    </w:p>
    <w:p>
      <w:pPr>
        <w:pStyle w:val="Heading2"/>
        <w:spacing w:after="120" w:before="300"/>
      </w:pPr>
      <w:r>
        <w:t xml:space="preserve">8. Manufacturing and quality control</w:t>
      </w:r>
    </w:p>
    <w:p>
      <w:pPr>
        <w:spacing w:after="120"/>
      </w:pPr>
      <w:r>
        <w:t xml:space="preserve">Defect or yield rates compared across two production lines or suppliers can reverse once stratified by batch size, shift, or raw-material lot, echoing the treatment/severity confounding structure of the kidney stone example.</w:t>
      </w:r>
    </w:p>
    <w:p>
      <w:pPr>
        <w:spacing w:after="200"/>
      </w:pPr>
      <w:r>
        <w:rPr>
          <w:b/>
          <w:bCs/>
        </w:rPr>
        <w:t xml:space="preserve">How to apply it: </w:t>
      </w:r>
      <w:r>
        <w:t xml:space="preserve">Stratify defect-rate comparisons by known process covariates (shift, lot, machine) before selecting a supplier or process change.</w:t>
      </w:r>
    </w:p>
    <w:p>
      <w:pPr>
        <w:pStyle w:val="Heading2"/>
        <w:spacing w:after="120" w:before="300"/>
      </w:pPr>
      <w:r>
        <w:t xml:space="preserve">9. Education policy and school/teacher evaluation</w:t>
      </w:r>
    </w:p>
    <w:p>
      <w:pPr>
        <w:spacing w:after="120"/>
      </w:pPr>
      <w:r>
        <w:t xml:space="preserve">Aggregate test-score gains attributed to a school, teacher, or program can be confounded by student composition (prior achievement, socioeconomic status), producing Simpson's-Paradox-like reversals when comparing schools.</w:t>
      </w:r>
    </w:p>
    <w:p>
      <w:pPr>
        <w:spacing w:after="200"/>
      </w:pPr>
      <w:r>
        <w:rPr>
          <w:b/>
          <w:bCs/>
        </w:rPr>
        <w:t xml:space="preserve">How to apply it: </w:t>
      </w:r>
      <w:r>
        <w:t xml:space="preserve">Adjust or stratify by prior achievement/SES before ranking schools or teachers on raw score gains; consider covariate-adjusted regression as in Section 1.2.1.</w:t>
      </w:r>
    </w:p>
    <w:p>
      <w:pPr>
        <w:pStyle w:val="Heading2"/>
        <w:spacing w:after="120" w:before="300"/>
      </w:pPr>
      <w:r>
        <w:t xml:space="preserve">10. Policy evaluation and economics (as in the chapter's own LaLonde/job-training example)</w:t>
      </w:r>
    </w:p>
    <w:p>
      <w:pPr>
        <w:spacing w:after="120"/>
      </w:pPr>
      <w:r>
        <w:t xml:space="preserve">Observational estimates of program effects (job training, tax incentives, social programs) can flip sign once covariates are controlled for, exactly as shown with the treat coefficient in Section 1.2.1 (−$8,506 unadjusted vs. +$1,068 adjusted).</w:t>
      </w:r>
    </w:p>
    <w:p>
      <w:pPr>
        <w:spacing w:after="200"/>
      </w:pPr>
      <w:r>
        <w:rPr>
          <w:b/>
          <w:bCs/>
        </w:rPr>
        <w:t xml:space="preserve">How to apply it: </w:t>
      </w:r>
      <w:r>
        <w:t xml:space="preserve">Always report both naive and covariate-adjusted specifications, and perform a specification-search / sensitivity analysis (see Homework 1.4) before making a policy recommendation.</w:t>
      </w:r>
    </w:p>
    <w:p>
      <w:pPr>
        <w:pStyle w:val="Heading1"/>
        <w:spacing w:after="120" w:before="300"/>
      </w:pPr>
      <w:r>
        <w:t xml:space="preserve">Common thread across all ten</w:t>
      </w:r>
    </w:p>
    <w:p>
      <w:pPr>
        <w:spacing w:after="120"/>
      </w:pPr>
      <w:r>
        <w:t xml:space="preserve">In every domain above, the risk is the same one the chapter illustrates with kidney stones and Berkeley admissions: an aggregate association measure (rd, rr, or, or a regression coefficient) can be misleading whenever a third variable is unevenly distributed across the groups being compared and also affects the outcome. The fix is always the same three-step pattern: (1) compute the marginal measure, (2) stratify or adjust by plausible confounders, (3) compare and report both, flagging any reversal or large shift.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2026-08-19T05:15:11.195Z</dcterms:created>
  <dcterms:modified xsi:type="dcterms:W3CDTF">2026-08-19T05:15:11.208Z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