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C3E50"/>
          <w:sz w:val="44"/>
          <w:szCs w:val="44"/>
        </w:rPr>
        <w:t xml:space="preserve">Top 10 Practical Applications</w:t>
      </w:r>
    </w:p>
    <w:p>
      <w:pPr>
        <w:spacing w:after="300"/>
      </w:pPr>
      <w:r>
        <w:rPr>
          <w:color w:val="C0392B"/>
          <w:sz w:val="28"/>
          <w:szCs w:val="28"/>
        </w:rPr>
        <w:t xml:space="preserve">Applying the Potential Outcomes Framework (Chapter 2) to Real Projects</w:t>
      </w:r>
    </w:p>
    <w:p>
      <w:pPr>
        <w:spacing w:after="120"/>
      </w:pPr>
      <w:r>
        <w:t xml:space="preserve">Each application below is mapped onto the Yi(1)/Yi(0) notation from the chapter: the treatment/intervention, the outcome, the experimental unit, and the specific reason the framework applies well (or what to watch out for, per SUTVA).</w:t>
      </w:r>
    </w:p>
    <w:p>
      <w:pPr>
        <w:pBdr>
          <w:left w:val="single" w:color="C0392B" w:sz="24"/>
        </w:pBdr>
        <w:shd w:fill="EAF0F6" w:val="clear"/>
        <w:spacing w:after="120" w:before="320"/>
      </w:pPr>
      <w:r>
        <w:rPr>
          <w:b/>
          <w:bCs/>
          <w:color w:val="C0392B"/>
          <w:sz w:val="26"/>
          <w:szCs w:val="26"/>
        </w:rPr>
        <w:t xml:space="preserve">  1. </w:t>
      </w:r>
      <w:r>
        <w:rPr>
          <w:b/>
          <w:bCs/>
          <w:color w:val="2C3E50"/>
          <w:sz w:val="26"/>
          <w:szCs w:val="26"/>
        </w:rPr>
        <w:t xml:space="preserve">Clinical trials &amp; drug efficacy</w:t>
      </w:r>
    </w:p>
    <w:p>
      <w:pPr>
        <w:spacing w:after="80"/>
      </w:pPr>
      <w:r>
        <w:rPr>
          <w:b/>
          <w:bCs/>
        </w:rPr>
        <w:t xml:space="preserve">Treatment / intervention: </w:t>
      </w:r>
      <w:r>
        <w:t xml:space="preserve">Receiving the drug vs. placebo</w:t>
      </w:r>
    </w:p>
    <w:p>
      <w:pPr>
        <w:spacing w:after="80"/>
      </w:pPr>
      <w:r>
        <w:rPr>
          <w:b/>
          <w:bCs/>
        </w:rPr>
        <w:t xml:space="preserve">Outcome: </w:t>
      </w:r>
      <w:r>
        <w:t xml:space="preserve">Symptom relief, biomarker change, survival</w:t>
      </w:r>
    </w:p>
    <w:p>
      <w:pPr>
        <w:spacing w:after="80"/>
      </w:pPr>
      <w:r>
        <w:rPr>
          <w:b/>
          <w:bCs/>
        </w:rPr>
        <w:t xml:space="preserve">Experimental unit: </w:t>
      </w:r>
      <w:r>
        <w:t xml:space="preserve">Patient (per trial period)</w:t>
      </w:r>
    </w:p>
    <w:p>
      <w:pPr>
        <w:spacing w:after="60"/>
      </w:pPr>
      <w:r>
        <w:rPr>
          <w:b/>
          <w:bCs/>
        </w:rPr>
        <w:t xml:space="preserve">Why potential outcomes fits: </w:t>
      </w:r>
      <w:r>
        <w:t xml:space="preserve">Randomization makes assignment independent of potential outcomes, so the simple difference in means unbiasedly estimates the ACE — the textbook use case for Yi(1), Yi(0).</w:t>
      </w:r>
    </w:p>
    <w:p>
      <w:pPr>
        <w:pBdr>
          <w:left w:val="single" w:color="C0392B" w:sz="24"/>
        </w:pBdr>
        <w:shd w:fill="EAF0F6" w:val="clear"/>
        <w:spacing w:after="120" w:before="320"/>
      </w:pPr>
      <w:r>
        <w:rPr>
          <w:b/>
          <w:bCs/>
          <w:color w:val="C0392B"/>
          <w:sz w:val="26"/>
          <w:szCs w:val="26"/>
        </w:rPr>
        <w:t xml:space="preserve">  2. </w:t>
      </w:r>
      <w:r>
        <w:rPr>
          <w:b/>
          <w:bCs/>
          <w:color w:val="2C3E50"/>
          <w:sz w:val="26"/>
          <w:szCs w:val="26"/>
        </w:rPr>
        <w:t xml:space="preserve">A/B testing in tech products</w:t>
      </w:r>
    </w:p>
    <w:p>
      <w:pPr>
        <w:spacing w:after="80"/>
      </w:pPr>
      <w:r>
        <w:rPr>
          <w:b/>
          <w:bCs/>
        </w:rPr>
        <w:t xml:space="preserve">Treatment / intervention: </w:t>
      </w:r>
      <w:r>
        <w:t xml:space="preserve">New feature / algorithm version vs. current version</w:t>
      </w:r>
    </w:p>
    <w:p>
      <w:pPr>
        <w:spacing w:after="80"/>
      </w:pPr>
      <w:r>
        <w:rPr>
          <w:b/>
          <w:bCs/>
        </w:rPr>
        <w:t xml:space="preserve">Outcome: </w:t>
      </w:r>
      <w:r>
        <w:t xml:space="preserve">Click-through rate, retention, revenue per user</w:t>
      </w:r>
    </w:p>
    <w:p>
      <w:pPr>
        <w:spacing w:after="80"/>
      </w:pPr>
      <w:r>
        <w:rPr>
          <w:b/>
          <w:bCs/>
        </w:rPr>
        <w:t xml:space="preserve">Experimental unit: </w:t>
      </w:r>
      <w:r>
        <w:t xml:space="preserve">User or user-session</w:t>
      </w:r>
    </w:p>
    <w:p>
      <w:pPr>
        <w:spacing w:after="60"/>
      </w:pPr>
      <w:r>
        <w:rPr>
          <w:b/>
          <w:bCs/>
        </w:rPr>
        <w:t xml:space="preserve">Why potential outcomes fits: </w:t>
      </w:r>
      <w:r>
        <w:t xml:space="preserve">Random assignment to arms mirrors the “clueless doctor” coin-flip example almost exactly; SUTVA (no interference) must be checked for social/marketplace products where users interact.</w:t>
      </w:r>
    </w:p>
    <w:p>
      <w:pPr>
        <w:pBdr>
          <w:left w:val="single" w:color="C0392B" w:sz="24"/>
        </w:pBdr>
        <w:shd w:fill="EAF0F6" w:val="clear"/>
        <w:spacing w:after="120" w:before="320"/>
      </w:pPr>
      <w:r>
        <w:rPr>
          <w:b/>
          <w:bCs/>
          <w:color w:val="C0392B"/>
          <w:sz w:val="26"/>
          <w:szCs w:val="26"/>
        </w:rPr>
        <w:t xml:space="preserve">  3. </w:t>
      </w:r>
      <w:r>
        <w:rPr>
          <w:b/>
          <w:bCs/>
          <w:color w:val="2C3E50"/>
          <w:sz w:val="26"/>
          <w:szCs w:val="26"/>
        </w:rPr>
        <w:t xml:space="preserve">Labor economics: job training programs</w:t>
      </w:r>
    </w:p>
    <w:p>
      <w:pPr>
        <w:spacing w:after="80"/>
      </w:pPr>
      <w:r>
        <w:rPr>
          <w:b/>
          <w:bCs/>
        </w:rPr>
        <w:t xml:space="preserve">Treatment / intervention: </w:t>
      </w:r>
      <w:r>
        <w:t xml:space="preserve">Enrollment in a job-training program vs. not</w:t>
      </w:r>
    </w:p>
    <w:p>
      <w:pPr>
        <w:spacing w:after="80"/>
      </w:pPr>
      <w:r>
        <w:rPr>
          <w:b/>
          <w:bCs/>
        </w:rPr>
        <w:t xml:space="preserve">Outcome: </w:t>
      </w:r>
      <w:r>
        <w:t xml:space="preserve">Employment status, wages</w:t>
      </w:r>
    </w:p>
    <w:p>
      <w:pPr>
        <w:spacing w:after="80"/>
      </w:pPr>
      <w:r>
        <w:rPr>
          <w:b/>
          <w:bCs/>
        </w:rPr>
        <w:t xml:space="preserve">Experimental unit: </w:t>
      </w:r>
      <w:r>
        <w:t xml:space="preserve">Individual worker</w:t>
      </w:r>
    </w:p>
    <w:p>
      <w:pPr>
        <w:spacing w:after="60"/>
      </w:pPr>
      <w:r>
        <w:rPr>
          <w:b/>
          <w:bCs/>
        </w:rPr>
        <w:t xml:space="preserve">Why potential outcomes fits: </w:t>
      </w:r>
      <w:r>
        <w:t xml:space="preserve">Directly mirrors Example 2.2; self-selection into training makes the assignment mechanism (Section 2.3) the central design question.</w:t>
      </w:r>
    </w:p>
    <w:p>
      <w:pPr>
        <w:pBdr>
          <w:left w:val="single" w:color="C0392B" w:sz="24"/>
        </w:pBdr>
        <w:shd w:fill="EAF0F6" w:val="clear"/>
        <w:spacing w:after="120" w:before="320"/>
      </w:pPr>
      <w:r>
        <w:rPr>
          <w:b/>
          <w:bCs/>
          <w:color w:val="C0392B"/>
          <w:sz w:val="26"/>
          <w:szCs w:val="26"/>
        </w:rPr>
        <w:t xml:space="preserve">  4. </w:t>
      </w:r>
      <w:r>
        <w:rPr>
          <w:b/>
          <w:bCs/>
          <w:color w:val="2C3E50"/>
          <w:sz w:val="26"/>
          <w:szCs w:val="26"/>
        </w:rPr>
        <w:t xml:space="preserve">Education: class size or curriculum effects</w:t>
      </w:r>
    </w:p>
    <w:p>
      <w:pPr>
        <w:spacing w:after="80"/>
      </w:pPr>
      <w:r>
        <w:rPr>
          <w:b/>
          <w:bCs/>
        </w:rPr>
        <w:t xml:space="preserve">Treatment / intervention: </w:t>
      </w:r>
      <w:r>
        <w:t xml:space="preserve">Small class / new curriculum vs. standard class</w:t>
      </w:r>
    </w:p>
    <w:p>
      <w:pPr>
        <w:spacing w:after="80"/>
      </w:pPr>
      <w:r>
        <w:rPr>
          <w:b/>
          <w:bCs/>
        </w:rPr>
        <w:t xml:space="preserve">Outcome: </w:t>
      </w:r>
      <w:r>
        <w:t xml:space="preserve">Standardized test scores</w:t>
      </w:r>
    </w:p>
    <w:p>
      <w:pPr>
        <w:spacing w:after="80"/>
      </w:pPr>
      <w:r>
        <w:rPr>
          <w:b/>
          <w:bCs/>
        </w:rPr>
        <w:t xml:space="preserve">Experimental unit: </w:t>
      </w:r>
      <w:r>
        <w:t xml:space="preserve">Student (within a school-year)</w:t>
      </w:r>
    </w:p>
    <w:p>
      <w:pPr>
        <w:spacing w:after="60"/>
      </w:pPr>
      <w:r>
        <w:rPr>
          <w:b/>
          <w:bCs/>
        </w:rPr>
        <w:t xml:space="preserve">Why potential outcomes fits: </w:t>
      </w:r>
      <w:r>
        <w:t xml:space="preserve">Directly mirrors Example 2.3; must check no-interference across students in the same classroom (peer effects) and consistency of “curriculum” delivery across teachers.</w:t>
      </w:r>
    </w:p>
    <w:p>
      <w:pPr>
        <w:pBdr>
          <w:left w:val="single" w:color="C0392B" w:sz="24"/>
        </w:pBdr>
        <w:shd w:fill="EAF0F6" w:val="clear"/>
        <w:spacing w:after="120" w:before="320"/>
      </w:pPr>
      <w:r>
        <w:rPr>
          <w:b/>
          <w:bCs/>
          <w:color w:val="C0392B"/>
          <w:sz w:val="26"/>
          <w:szCs w:val="26"/>
        </w:rPr>
        <w:t xml:space="preserve">  5. </w:t>
      </w:r>
      <w:r>
        <w:rPr>
          <w:b/>
          <w:bCs/>
          <w:color w:val="2C3E50"/>
          <w:sz w:val="26"/>
          <w:szCs w:val="26"/>
        </w:rPr>
        <w:t xml:space="preserve">Political science / campaigns</w:t>
      </w:r>
    </w:p>
    <w:p>
      <w:pPr>
        <w:spacing w:after="80"/>
      </w:pPr>
      <w:r>
        <w:rPr>
          <w:b/>
          <w:bCs/>
        </w:rPr>
        <w:t xml:space="preserve">Treatment / intervention: </w:t>
      </w:r>
      <w:r>
        <w:t xml:space="preserve">Type of get-out-the-vote message received</w:t>
      </w:r>
    </w:p>
    <w:p>
      <w:pPr>
        <w:spacing w:after="80"/>
      </w:pPr>
      <w:r>
        <w:rPr>
          <w:b/>
          <w:bCs/>
        </w:rPr>
        <w:t xml:space="preserve">Outcome: </w:t>
      </w:r>
      <w:r>
        <w:t xml:space="preserve">Turnout (voted / did not vote)</w:t>
      </w:r>
    </w:p>
    <w:p>
      <w:pPr>
        <w:spacing w:after="80"/>
      </w:pPr>
      <w:r>
        <w:rPr>
          <w:b/>
          <w:bCs/>
        </w:rPr>
        <w:t xml:space="preserve">Experimental unit: </w:t>
      </w:r>
      <w:r>
        <w:t xml:space="preserve">Registered voter</w:t>
      </w:r>
    </w:p>
    <w:p>
      <w:pPr>
        <w:spacing w:after="60"/>
      </w:pPr>
      <w:r>
        <w:rPr>
          <w:b/>
          <w:bCs/>
        </w:rPr>
        <w:t xml:space="preserve">Why potential outcomes fits: </w:t>
      </w:r>
      <w:r>
        <w:t xml:space="preserve">Directly mirrors Example 2.4 (Gerber, Green &amp; Larimer); large-scale field experiments with random mail assignment are a canonical potential-outcomes application.</w:t>
      </w:r>
    </w:p>
    <w:p>
      <w:pPr>
        <w:pBdr>
          <w:left w:val="single" w:color="C0392B" w:sz="24"/>
        </w:pBdr>
        <w:shd w:fill="EAF0F6" w:val="clear"/>
        <w:spacing w:after="120" w:before="320"/>
      </w:pPr>
      <w:r>
        <w:rPr>
          <w:b/>
          <w:bCs/>
          <w:color w:val="C0392B"/>
          <w:sz w:val="26"/>
          <w:szCs w:val="26"/>
        </w:rPr>
        <w:t xml:space="preserve">  6. </w:t>
      </w:r>
      <w:r>
        <w:rPr>
          <w:b/>
          <w:bCs/>
          <w:color w:val="2C3E50"/>
          <w:sz w:val="26"/>
          <w:szCs w:val="26"/>
        </w:rPr>
        <w:t xml:space="preserve">Labor-market discrimination audits</w:t>
      </w:r>
    </w:p>
    <w:p>
      <w:pPr>
        <w:spacing w:after="80"/>
      </w:pPr>
      <w:r>
        <w:rPr>
          <w:b/>
          <w:bCs/>
        </w:rPr>
        <w:t xml:space="preserve">Treatment / intervention: </w:t>
      </w:r>
      <w:r>
        <w:t xml:space="preserve">Perceived race/gender signaled by a resume or profile</w:t>
      </w:r>
    </w:p>
    <w:p>
      <w:pPr>
        <w:spacing w:after="80"/>
      </w:pPr>
      <w:r>
        <w:rPr>
          <w:b/>
          <w:bCs/>
        </w:rPr>
        <w:t xml:space="preserve">Outcome: </w:t>
      </w:r>
      <w:r>
        <w:t xml:space="preserve">Callback / response rate</w:t>
      </w:r>
    </w:p>
    <w:p>
      <w:pPr>
        <w:spacing w:after="80"/>
      </w:pPr>
      <w:r>
        <w:rPr>
          <w:b/>
          <w:bCs/>
        </w:rPr>
        <w:t xml:space="preserve">Experimental unit: </w:t>
      </w:r>
      <w:r>
        <w:t xml:space="preserve">Resume or application (not the person)</w:t>
      </w:r>
    </w:p>
    <w:p>
      <w:pPr>
        <w:spacing w:after="60"/>
      </w:pPr>
      <w:r>
        <w:rPr>
          <w:b/>
          <w:bCs/>
        </w:rPr>
        <w:t xml:space="preserve">Why potential outcomes fits: </w:t>
      </w:r>
      <w:r>
        <w:t xml:space="preserve">Directly mirrors Example 2.6 (Bertrand &amp; Mullainathan); reframes an otherwise ill-defined intervention (race) into a manipulable one (perceived race on paper), illustrating Section 2.1's consistency discussion.</w:t>
      </w:r>
    </w:p>
    <w:p>
      <w:pPr>
        <w:pBdr>
          <w:left w:val="single" w:color="C0392B" w:sz="24"/>
        </w:pBdr>
        <w:shd w:fill="EAF0F6" w:val="clear"/>
        <w:spacing w:after="120" w:before="320"/>
      </w:pPr>
      <w:r>
        <w:rPr>
          <w:b/>
          <w:bCs/>
          <w:color w:val="C0392B"/>
          <w:sz w:val="26"/>
          <w:szCs w:val="26"/>
        </w:rPr>
        <w:t xml:space="preserve">  7. </w:t>
      </w:r>
      <w:r>
        <w:rPr>
          <w:b/>
          <w:bCs/>
          <w:color w:val="2C3E50"/>
          <w:sz w:val="26"/>
          <w:szCs w:val="26"/>
        </w:rPr>
        <w:t xml:space="preserve">Public health &amp; epidemiology</w:t>
      </w:r>
    </w:p>
    <w:p>
      <w:pPr>
        <w:spacing w:after="80"/>
      </w:pPr>
      <w:r>
        <w:rPr>
          <w:b/>
          <w:bCs/>
        </w:rPr>
        <w:t xml:space="preserve">Treatment / intervention: </w:t>
      </w:r>
      <w:r>
        <w:t xml:space="preserve">Vaccination, mask mandate, screening program</w:t>
      </w:r>
    </w:p>
    <w:p>
      <w:pPr>
        <w:spacing w:after="80"/>
      </w:pPr>
      <w:r>
        <w:rPr>
          <w:b/>
          <w:bCs/>
        </w:rPr>
        <w:t xml:space="preserve">Outcome: </w:t>
      </w:r>
      <w:r>
        <w:t xml:space="preserve">Infection, hospitalization, mortality</w:t>
      </w:r>
    </w:p>
    <w:p>
      <w:pPr>
        <w:spacing w:after="80"/>
      </w:pPr>
      <w:r>
        <w:rPr>
          <w:b/>
          <w:bCs/>
        </w:rPr>
        <w:t xml:space="preserve">Experimental unit: </w:t>
      </w:r>
      <w:r>
        <w:t xml:space="preserve">Individual or cluster (household, community)</w:t>
      </w:r>
    </w:p>
    <w:p>
      <w:pPr>
        <w:spacing w:after="60"/>
      </w:pPr>
      <w:r>
        <w:rPr>
          <w:b/>
          <w:bCs/>
        </w:rPr>
        <w:t xml:space="preserve">Why potential outcomes fits: </w:t>
      </w:r>
      <w:r>
        <w:t xml:space="preserve">A prime example where the no-interference part of SUTVA is likely violated (herd immunity, contact networks), motivating interference-aware extensions of the framework.</w:t>
      </w:r>
    </w:p>
    <w:p>
      <w:pPr>
        <w:pBdr>
          <w:left w:val="single" w:color="C0392B" w:sz="24"/>
        </w:pBdr>
        <w:shd w:fill="EAF0F6" w:val="clear"/>
        <w:spacing w:after="120" w:before="320"/>
      </w:pPr>
      <w:r>
        <w:rPr>
          <w:b/>
          <w:bCs/>
          <w:color w:val="C0392B"/>
          <w:sz w:val="26"/>
          <w:szCs w:val="26"/>
        </w:rPr>
        <w:t xml:space="preserve">  8. </w:t>
      </w:r>
      <w:r>
        <w:rPr>
          <w:b/>
          <w:bCs/>
          <w:color w:val="2C3E50"/>
          <w:sz w:val="26"/>
          <w:szCs w:val="26"/>
        </w:rPr>
        <w:t xml:space="preserve">Marketing &amp; customer relationship management</w:t>
      </w:r>
    </w:p>
    <w:p>
      <w:pPr>
        <w:spacing w:after="80"/>
      </w:pPr>
      <w:r>
        <w:rPr>
          <w:b/>
          <w:bCs/>
        </w:rPr>
        <w:t xml:space="preserve">Treatment / intervention: </w:t>
      </w:r>
      <w:r>
        <w:t xml:space="preserve">Discount offer, email campaign, loyalty incentive</w:t>
      </w:r>
    </w:p>
    <w:p>
      <w:pPr>
        <w:spacing w:after="80"/>
      </w:pPr>
      <w:r>
        <w:rPr>
          <w:b/>
          <w:bCs/>
        </w:rPr>
        <w:t xml:space="preserve">Outcome: </w:t>
      </w:r>
      <w:r>
        <w:t xml:space="preserve">Purchase, spend, churn</w:t>
      </w:r>
    </w:p>
    <w:p>
      <w:pPr>
        <w:spacing w:after="80"/>
      </w:pPr>
      <w:r>
        <w:rPr>
          <w:b/>
          <w:bCs/>
        </w:rPr>
        <w:t xml:space="preserve">Experimental unit: </w:t>
      </w:r>
      <w:r>
        <w:t xml:space="preserve">Customer</w:t>
      </w:r>
    </w:p>
    <w:p>
      <w:pPr>
        <w:spacing w:after="60"/>
      </w:pPr>
      <w:r>
        <w:rPr>
          <w:b/>
          <w:bCs/>
        </w:rPr>
        <w:t xml:space="preserve">Why potential outcomes fits: </w:t>
      </w:r>
      <w:r>
        <w:t xml:space="preserve">Firms can randomize offers, making the ACE estimable directly; heterogeneous effects (Section 2.2.1 subgroup effects) are commonly used to target offers by customer segment.</w:t>
      </w:r>
    </w:p>
    <w:p>
      <w:pPr>
        <w:pBdr>
          <w:left w:val="single" w:color="C0392B" w:sz="24"/>
        </w:pBdr>
        <w:shd w:fill="EAF0F6" w:val="clear"/>
        <w:spacing w:after="120" w:before="320"/>
      </w:pPr>
      <w:r>
        <w:rPr>
          <w:b/>
          <w:bCs/>
          <w:color w:val="C0392B"/>
          <w:sz w:val="26"/>
          <w:szCs w:val="26"/>
        </w:rPr>
        <w:t xml:space="preserve">  9. </w:t>
      </w:r>
      <w:r>
        <w:rPr>
          <w:b/>
          <w:bCs/>
          <w:color w:val="2C3E50"/>
          <w:sz w:val="26"/>
          <w:szCs w:val="26"/>
        </w:rPr>
        <w:t xml:space="preserve">Public policy &amp; program evaluation</w:t>
      </w:r>
    </w:p>
    <w:p>
      <w:pPr>
        <w:spacing w:after="80"/>
      </w:pPr>
      <w:r>
        <w:rPr>
          <w:b/>
          <w:bCs/>
        </w:rPr>
        <w:t xml:space="preserve">Treatment / intervention: </w:t>
      </w:r>
      <w:r>
        <w:t xml:space="preserve">Eligibility for a subsidy, tax credit, or welfare program</w:t>
      </w:r>
    </w:p>
    <w:p>
      <w:pPr>
        <w:spacing w:after="80"/>
      </w:pPr>
      <w:r>
        <w:rPr>
          <w:b/>
          <w:bCs/>
        </w:rPr>
        <w:t xml:space="preserve">Outcome: </w:t>
      </w:r>
      <w:r>
        <w:t xml:space="preserve">Income, health, program-specific outcomes</w:t>
      </w:r>
    </w:p>
    <w:p>
      <w:pPr>
        <w:spacing w:after="80"/>
      </w:pPr>
      <w:r>
        <w:rPr>
          <w:b/>
          <w:bCs/>
        </w:rPr>
        <w:t xml:space="preserve">Experimental unit: </w:t>
      </w:r>
      <w:r>
        <w:t xml:space="preserve">Household or individual</w:t>
      </w:r>
    </w:p>
    <w:p>
      <w:pPr>
        <w:spacing w:after="60"/>
      </w:pPr>
      <w:r>
        <w:rPr>
          <w:b/>
          <w:bCs/>
        </w:rPr>
        <w:t xml:space="preserve">Why potential outcomes fits: </w:t>
      </w:r>
      <w:r>
        <w:t xml:space="preserve">Assignment is rarely random (means-tested rules, geography, phase-in), making the treatment-assignment-mechanism analysis of Section 2.3 the crux of credible evaluation (precursor to matching/IV/RDD methods).</w:t>
      </w:r>
    </w:p>
    <w:p>
      <w:pPr>
        <w:pBdr>
          <w:left w:val="single" w:color="C0392B" w:sz="24"/>
        </w:pBdr>
        <w:shd w:fill="EAF0F6" w:val="clear"/>
        <w:spacing w:after="120" w:before="320"/>
      </w:pPr>
      <w:r>
        <w:rPr>
          <w:b/>
          <w:bCs/>
          <w:color w:val="C0392B"/>
          <w:sz w:val="26"/>
          <w:szCs w:val="26"/>
        </w:rPr>
        <w:t xml:space="preserve">  10. </w:t>
      </w:r>
      <w:r>
        <w:rPr>
          <w:b/>
          <w:bCs/>
          <w:color w:val="2C3E50"/>
          <w:sz w:val="26"/>
          <w:szCs w:val="26"/>
        </w:rPr>
        <w:t xml:space="preserve">Technology / medical self-tracking (personal analytics)</w:t>
      </w:r>
    </w:p>
    <w:p>
      <w:pPr>
        <w:spacing w:after="80"/>
      </w:pPr>
      <w:r>
        <w:rPr>
          <w:b/>
          <w:bCs/>
        </w:rPr>
        <w:t xml:space="preserve">Treatment / intervention: </w:t>
      </w:r>
      <w:r>
        <w:t xml:space="preserve">A personal habit change (e.g., taking a supplement, sleep routine)</w:t>
      </w:r>
    </w:p>
    <w:p>
      <w:pPr>
        <w:spacing w:after="80"/>
      </w:pPr>
      <w:r>
        <w:rPr>
          <w:b/>
          <w:bCs/>
        </w:rPr>
        <w:t xml:space="preserve">Outcome: </w:t>
      </w:r>
      <w:r>
        <w:t xml:space="preserve">Self-reported symptom or performance measure</w:t>
      </w:r>
    </w:p>
    <w:p>
      <w:pPr>
        <w:spacing w:after="80"/>
      </w:pPr>
      <w:r>
        <w:rPr>
          <w:b/>
          <w:bCs/>
        </w:rPr>
        <w:t xml:space="preserve">Experimental unit: </w:t>
      </w:r>
      <w:r>
        <w:t xml:space="preserve">Person-at-a-given-time (NOT simply “the person”)</w:t>
      </w:r>
    </w:p>
    <w:p>
      <w:pPr>
        <w:spacing w:after="60"/>
      </w:pPr>
      <w:r>
        <w:rPr>
          <w:b/>
          <w:bCs/>
        </w:rPr>
        <w:t xml:space="preserve">Why potential outcomes fits: </w:t>
      </w:r>
      <w:r>
        <w:t xml:space="preserve">Directly mirrors Section 2.2.2's aspirin/headache example — a cautionary application showing why naive before/after self-experimentation conflates two different experimental units and generally cannot identify a causal effect without a stability assumption.</w:t>
      </w:r>
    </w:p>
    <w:p>
      <w:pPr>
        <w:spacing w:before="300"/>
      </w:pPr>
      <w:r>
        <w:rPr>
          <w:i/>
          <w:iCs/>
          <w:color w:val="888888"/>
          <w:sz w:val="18"/>
          <w:szCs w:val="18"/>
        </w:rPr>
        <w:t xml:space="preserve">Source: A First Course in Causal Inference, Chapter 2 — Potential Outcomes.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2026-08-19T05:32:38.732Z</dcterms:created>
  <dcterms:modified xsi:type="dcterms:W3CDTF">2026-08-19T05:32:38.732Z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