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C3E50"/>
          <w:sz w:val="46"/>
          <w:szCs w:val="46"/>
        </w:rPr>
        <w:t xml:space="preserve">Applicability Checklist</w:t>
      </w:r>
    </w:p>
    <w:p>
      <w:pPr>
        <w:spacing w:after="60"/>
      </w:pPr>
      <w:r>
        <w:rPr>
          <w:color w:val="555555"/>
          <w:sz w:val="26"/>
          <w:szCs w:val="26"/>
        </w:rPr>
        <w:t xml:space="preserve">Implementing Randomized-Experiment Causal Inference Theory into a Real Project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Based on: A First Course in Causal Inference, Part II — Randomized Experiments (Chapters 3–9)</w:t>
      </w:r>
    </w:p>
    <w:p>
      <w:pPr>
        <w:pBdr>
          <w:bottom w:val="single" w:color="AAAAAA" w:sz="6" w:space="1"/>
        </w:pBdr>
        <w:spacing w:after="200"/>
      </w:pPr>
    </w:p>
    <w:p>
      <w:pPr>
        <w:spacing w:after="160"/>
      </w:pPr>
      <w:r>
        <w:rPr>
          <w:i/>
          <w:iCs/>
          <w:color w:val="555555"/>
        </w:rPr>
        <w:t xml:space="preserve">How to use this checklist: work through the phases in order. Each phase maps to specific chapters of the source material so you can go back to the theory (or the companion Key-Takeaways Template and Exercise-Solutions notebook) whenever a box requires more detail than a checkbox can hold.</w:t>
      </w:r>
    </w:p>
    <w:p>
      <w:pPr>
        <w:pStyle w:val="Heading1"/>
        <w:spacing w:after="150" w:before="300"/>
      </w:pPr>
      <w:r>
        <w:t xml:space="preserve">Phase 0 — Define the Causal Question (pre-Chapter 3)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Written definition of the estimand: individual causal effect τᵢ = Yᵢ(1) − Yᵢ(0), and the population-level target (average effect τ, or a specific quantile / subgroup effect).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Explicit statement of the two potential outcomes for every unit, and confirmation that SUTVA (no interference between units, no hidden versions of treatment) is plausible.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Identification of the unit of randomization (individual, store, classroom, cluster, pair) and the unit of analysis — confirm they match, or note the adjustment needed if they don't.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Decision on whether this is a one-shot finite-population question (“what happened to exactly these units”) or a super-population / generalization question (“what would happen to a broader population”). — See Chapter 9.</w:t>
      </w:r>
    </w:p>
    <w:p>
      <w:pPr>
        <w:pStyle w:val="Heading1"/>
        <w:spacing w:after="150" w:before="300"/>
      </w:pPr>
      <w:r>
        <w:t xml:space="preserve">Phase 1 — Choose the Experimental Design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List candidate pre-treatment covariates and rank them by expected prognostic strength (correlation with the outcome).</w:t>
      </w:r>
    </w:p>
    <w:p>
      <w:pPr>
        <w:spacing w:after="140"/>
        <w:ind w:left="648"/>
      </w:pPr>
      <w:r>
        <w:rPr>
          <w:i/>
          <w:iCs/>
          <w:color w:val="666666"/>
          <w:sz w:val="20"/>
          <w:szCs w:val="20"/>
        </w:rPr>
        <w:t xml:space="preserve">Strong single covariate or few covariates with natural categories → consider stratification (Chapter 5).</w:t>
      </w:r>
    </w:p>
    <w:p>
      <w:pPr>
        <w:spacing w:after="140"/>
        <w:ind w:left="648"/>
      </w:pPr>
      <w:r>
        <w:rPr>
          <w:i/>
          <w:iCs/>
          <w:color w:val="666666"/>
          <w:sz w:val="20"/>
          <w:szCs w:val="20"/>
        </w:rPr>
        <w:t xml:space="preserve">Ability to find 1:1 near-identical matches → consider a Matched-Pairs Experiment (Chapter 7).</w:t>
      </w:r>
    </w:p>
    <w:p>
      <w:pPr>
        <w:spacing w:after="140"/>
        <w:ind w:left="648"/>
      </w:pPr>
      <w:r>
        <w:rPr>
          <w:i/>
          <w:iCs/>
          <w:color w:val="666666"/>
          <w:sz w:val="20"/>
          <w:szCs w:val="20"/>
        </w:rPr>
        <w:t xml:space="preserve">Continuous / multiple covariates, can re-draw the randomization before launch → consider Rerandomization (Chapter 6).</w:t>
      </w:r>
    </w:p>
    <w:p>
      <w:pPr>
        <w:spacing w:after="140"/>
        <w:ind w:left="648"/>
      </w:pPr>
      <w:r>
        <w:rPr>
          <w:i/>
          <w:iCs/>
          <w:color w:val="666666"/>
          <w:sz w:val="20"/>
          <w:szCs w:val="20"/>
        </w:rPr>
        <w:t xml:space="preserve">No strong covariates, or design must stay simple → default to the Completely Randomized Experiment (Chapter 3).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Fixed n₁ (treated) and n₀ (control) decided in advance (CRE definition, Chapter 3) rather than left to independent Bernoulli assignment, unless there's a specific reason to prefer a Bernoulli Randomized Experiment (Problem 4.7).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If stratifying: strata are defined using only pre-treatment information, and each stratum has enough units to support internal randomization (ideally n₁, n₀ ≥ 2 per stratum).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If rerandomizing: Mahalanobis-distance acceptance threshold a is chosen and documented before any outcome data exists (design-stage decision only — never re-randomize after seeing outcomes).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If matching pairs: matching variables and matching algorithm are specified and fixed before treatment assignment.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Randomization mechanism is implemented with a reproducible, auditable procedure (seeded RNG, pre-registered allocation list, or physical randomization protocol).</w:t>
      </w:r>
    </w:p>
    <w:p>
      <w:pPr>
        <w:pStyle w:val="Heading1"/>
        <w:spacing w:after="150" w:before="300"/>
      </w:pPr>
      <w:r>
        <w:t xml:space="preserve">Phase 2 — Pre-Registration &amp; Power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Primary test statistic(s) for the Fisher Randomization Test are specified in advance (e.g., difference-in-means, studentized difference, rank-based statistic) — see Chapter 3.3 canonical choices.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Primary estimand and estimator for Neymanian inference are specified in advance (difference-in-means, or a regression/ANCOVA-adjusted estimator per Chapter 6).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Sample size / minimum detectable effect has been sanity-checked (informally) against the variance formula var(τ̂) = S²(1)/n₁ + S²(0)/n₀ − S²(τ)/n (Chapter 4).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Any planned covariate adjustment model (Lin 2013 / ANCOVA) is specified in advance, including which covariates will be centered and interacted with treatment (Chapter 6.2).</w:t>
      </w:r>
    </w:p>
    <w:p>
      <w:pPr>
        <w:pStyle w:val="Heading1"/>
        <w:spacing w:after="150" w:before="300"/>
      </w:pPr>
      <w:r>
        <w:t xml:space="preserve">Phase 3 — Run the Experiment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Randomization executed exactly as pre-registered; assignment recorded before outcomes are observed.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Balance check performed on baseline covariates (table of means by arm) purely for reporting — not used to re-randomize or discard the draw after the fact.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Missing-outcome / attrition process is monitored and documented (relevant to Chapter 6.14, missing outcomes in randomized experiments).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Any protocol deviations (crossovers, non-compliance) are logged for later sensitivity analysis.</w:t>
      </w:r>
    </w:p>
    <w:p>
      <w:pPr>
        <w:pStyle w:val="Heading1"/>
        <w:spacing w:after="150" w:before="300"/>
      </w:pPr>
      <w:r>
        <w:t xml:space="preserve">Phase 4 — Analyze: Fisherian (Exact, Design-Based) Inference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Sharp null H₀ᶠ: Yᵢ(1) = Yᵢ(0) for all i is stated explicitly.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Randomization (FRT) p-value computed by enumeration (small n) or Monte Carlo approximation (large n) using the pre-registered test statistic — Chapter 3.2.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If Monte Carlo approximation is used, the finite-sample-valid correction p̃ = (1 + count) / (1 + R) is applied rather than the naive R-based ratio — Problem 3.3.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If reporting the FRT as a general significance test (not purely the sharp null), the studentized statistic t = τ̂/√V̂ is used, per the dual-guarantee result — Chapter 8.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 a binary outcome, confirm whether Fisher's exact test / Hypergeometric calculation reproduces the FRT result as a check — Chapter 3.4.</w:t>
      </w:r>
    </w:p>
    <w:p>
      <w:pPr>
        <w:pStyle w:val="Heading1"/>
        <w:spacing w:after="150" w:before="300"/>
      </w:pPr>
      <w:r>
        <w:t xml:space="preserve">Phase 5 — Analyze: Neymanian (Repeated-Sampling) Inference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Point estimate τ̂ = difference in observed means computed — Chapter 4.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Conservative variance estimator V̂ = Ŝ²(1)/n₁ + Ŝ²(0)/n₀ computed, and reported as conservative (an upper bound) rather than exact, unless a superpopulation argument (Chapter 9) applies.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If design was stratified (SRE): stratum-level estimates combined with sample-size weights, and stratum-level variances summed appropriately — Chapter 5.3.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If design was matched pairs (MPE): variance estimated from the sample variance of pair differences divided by the number of pairs, explicitly noted as conservative — Chapter 7, Theorem 7.1.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If covariate adjustment is used: Lin (2013) / ANCOVA estimator computed with treatment-covariate interactions and centered covariates, and the corrected (EHW + extra term) variance estimator used rather than the plain regression SE — Chapter 6.2, Chapter 9.</w:t>
      </w:r>
    </w:p>
    <w:p>
      <w:pPr>
        <w:pStyle w:val="Heading1"/>
        <w:spacing w:after="150" w:before="300"/>
      </w:pPr>
      <w:r>
        <w:t xml:space="preserve">Phase 6 — Validity, Generalization &amp; Reporting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Internal validity: results are reported as applying to the sampled/enrolled units first and foremost — Chapter 9, Definition 9.1.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External validity discussion: state explicitly whether the sample is a representative draw from a broader population of interest, and whether a super-population framework is invoked for generalization — Chapter 9, Definition 9.2.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If heterogeneous treatment effects are plausible, report that the Neymanian CI is conservative and, if of interest, explore heterogeneity directly rather than relying on the CI width alone — Chapter 4, Problem 4.4.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Report both the exact FRT p-value and the Neymanian point estimate / CI side by side — they answer different questions (existence of any effect vs. magnitude of the average effect) — Chapter 8.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Document any deviations from the pre-registered design/analysis plan and assess their impact on validity.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Archive the randomization seed/list, raw data, and analysis code for reproducibility.</w:t>
      </w:r>
    </w:p>
    <w:p>
      <w:pPr>
        <w:pStyle w:val="Heading1"/>
        <w:spacing w:after="150" w:before="300"/>
      </w:pPr>
      <w:r>
        <w:t xml:space="preserve">Chapter Cross-Reference</w:t>
      </w:r>
    </w:p>
    <w:p>
      <w:pPr>
        <w:spacing w:after="120"/>
      </w:pPr>
      <w:r>
        <w:t xml:space="preserve">Use this table to jump directly to the relevant chapter, design, and analysis tool for your project's situation.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50"/>
        <w:gridCol w:w="3000"/>
        <w:gridCol w:w="2800"/>
      </w:tblGrid>
      <w:tr>
        <w:trPr>
          <w:tblHeader/>
        </w:trPr>
        <w:tc>
          <w:tcPr>
            <w:tcW w:type="dxa" w:w="9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265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/ Method</w:t>
            </w:r>
          </w:p>
        </w:tc>
        <w:tc>
          <w:tcPr>
            <w:tcW w:type="dxa" w:w="30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Analysis Tool</w:t>
            </w:r>
          </w:p>
        </w:tc>
        <w:tc>
          <w:tcPr>
            <w:tcW w:type="dxa" w:w="28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When...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Completely Randomized Experiment (CRE)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Fisher Randomization Test (FRT)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need an assumption-light, exact test of a sharp null with any test statistic.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Neymanian point estimate + conservative CI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need an unbiased point estimate and a defensible (if conservative) interval.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Stratified Randomized Experiment (SRE)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Within-stratum FRT / Neyman, pooled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pre-treatment variable strongly predicts the outcome and can be used to block.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Rerandomization (ReM) / Regression adjustment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Mahalanobis-distance acceptance; Lin (2013) / ANCOVA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have covariates but can't fully stratify, or want to adjust after the fact.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Matched-Pairs Experiment (MPE)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Pair-difference t-test / sign-flip FRT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can identify near-identical 1:1 matches before randomizing.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design above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Studentized-statistic FRT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want one p-value valid under both the strong and weak null.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Super-population framework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IID asymptotics, standard SEs/bootstrap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need results to generalize beyond the specific sampled units.</w:t>
            </w:r>
          </w:p>
        </w:tc>
      </w:tr>
    </w:tbl>
    <w:p>
      <w:pPr>
        <w:spacing w:before="300"/>
      </w:pPr>
    </w:p>
    <w:p>
      <w:pPr>
        <w:spacing w:after="160"/>
      </w:pPr>
      <w:r>
        <w:rPr>
          <w:i/>
          <w:iCs/>
          <w:color w:val="555555"/>
        </w:rPr>
        <w:t xml:space="preserve">Companion documents: Key-Takeaways Reusable Template (.docx), Top-10 Practical Applications (.docx), Chapter Mindmap (.png), and the Exercise-Solutions Jupyter Notebook (.ipynb) provide the theory detail, worked code, and visual map that this checklist references.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2026-08-19T09:48:46.782Z</dcterms:created>
  <dcterms:modified xsi:type="dcterms:W3CDTF">2026-08-19T09:48:46.793Z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