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C3E50"/>
          <w:sz w:val="46"/>
          <w:szCs w:val="46"/>
        </w:rPr>
        <w:t xml:space="preserve">Key-Takeaways Reusable Template</w:t>
      </w:r>
    </w:p>
    <w:p>
      <w:pPr>
        <w:spacing w:after="60"/>
      </w:pPr>
      <w:r>
        <w:rPr>
          <w:color w:val="555555"/>
          <w:sz w:val="24"/>
          <w:szCs w:val="24"/>
        </w:rPr>
        <w:t xml:space="preserve">A Fill-In Companion for Applying Randomized-Experiment Causal Inference Theory to Your Own Project</w:t>
      </w:r>
    </w:p>
    <w:p>
      <w:pPr>
        <w:spacing w:after="260"/>
      </w:pPr>
      <w:r>
        <w:rPr>
          <w:i/>
          <w:iCs/>
          <w:color w:val="888888"/>
          <w:sz w:val="20"/>
          <w:szCs w:val="20"/>
        </w:rPr>
        <w:t xml:space="preserve">Based on: A First Course in Causal Inference, Part II — Randomized Experiments (Chapters 3–9)</w:t>
      </w:r>
    </w:p>
    <w:p>
      <w:pPr>
        <w:pBdr>
          <w:bottom w:val="single" w:color="CCCCCC" w:sz="6" w:space="1"/>
        </w:pBdr>
        <w:spacing w:after="240" w:before="100"/>
      </w:pPr>
    </w:p>
    <w:p>
      <w:pPr>
        <w:spacing w:after="160"/>
      </w:pPr>
      <w:r>
        <w:rPr>
          <w:i/>
          <w:iCs/>
          <w:color w:val="666666"/>
          <w:sz w:val="20"/>
          <w:szCs w:val="20"/>
        </w:rPr>
        <w:t xml:space="preserve">How to use this template: each chapter section below gives (1) the core theoretical idea in plain language, (2) the key formulas, (3) when to reach for it, and (4) common pitfalls — followed by blank fields for you to record how it applies to YOUR project. Duplicate any section as needed for multiple sub-analyses.</w:t>
      </w:r>
    </w:p>
    <w:p>
      <w:r>
        <w:br w:type="page"/>
      </w:r>
    </w:p>
    <w:p>
      <w:pPr>
        <w:pStyle w:val="Heading1"/>
        <w:spacing w:after="150" w:before="200"/>
      </w:pPr>
      <w:r>
        <w:t xml:space="preserve">Chapter 3</w:t>
      </w:r>
    </w:p>
    <w:p>
      <w:pPr>
        <w:spacing w:after="160"/>
      </w:pPr>
      <w:r>
        <w:rPr>
          <w:b/>
          <w:bCs/>
          <w:i/>
          <w:iCs/>
          <w:color w:val="444444"/>
          <w:sz w:val="24"/>
          <w:szCs w:val="24"/>
        </w:rPr>
        <w:t xml:space="preserve">The Completely Randomized Experiment (CRE) and the Fisher Randomization Test (FRT)</w:t>
      </w:r>
    </w:p>
    <w:p>
      <w:pPr>
        <w:spacing w:after="40" w:before="140"/>
      </w:pPr>
      <w:r>
        <w:rPr>
          <w:b/>
          <w:bCs/>
          <w:color w:val="2C3E50"/>
          <w:sz w:val="20"/>
          <w:szCs w:val="20"/>
        </w:rPr>
        <w:t xml:space="preserve">Core theoretical idea</w:t>
      </w:r>
    </w:p>
    <w:p>
      <w:pPr>
        <w:spacing w:after="100"/>
      </w:pPr>
      <w:r>
        <w:rPr>
          <w:sz w:val="21"/>
          <w:szCs w:val="21"/>
        </w:rPr>
        <w:t xml:space="preserve">Randomization alone — with no modeling assumptions — justifies an exact test of the sharp null hypothesis that treatment has zero effect for every unit. The randomization distribution of any test statistic is fully known because it can be recomputed under every possible treatment assignment.</w:t>
      </w:r>
    </w:p>
    <w:p>
      <w:pPr>
        <w:spacing w:after="40" w:before="140"/>
      </w:pPr>
      <w:r>
        <w:rPr>
          <w:b/>
          <w:bCs/>
          <w:color w:val="2C3E50"/>
          <w:sz w:val="20"/>
          <w:szCs w:val="20"/>
        </w:rPr>
        <w:t xml:space="preserve">Key formulas / definitions</w:t>
      </w:r>
    </w:p>
    <w:p>
      <w:pPr>
        <w:spacing w:after="60"/>
        <w:ind w:left="288"/>
      </w:pPr>
      <w:r>
        <w:rPr>
          <w:sz w:val="20"/>
          <w:szCs w:val="20"/>
        </w:rPr>
        <w:t xml:space="preserve">•  Sharp null: H0f : Yi(1) = Yi(0) for all i</w:t>
      </w:r>
    </w:p>
    <w:p>
      <w:pPr>
        <w:spacing w:after="60"/>
        <w:ind w:left="288"/>
      </w:pPr>
      <w:r>
        <w:rPr>
          <w:sz w:val="20"/>
          <w:szCs w:val="20"/>
        </w:rPr>
        <w:t xml:space="preserve">•  FRT p-value: p_frt = M^-1 Σ 1{T(z^m,Y) ≥ T(Z,Y)}, exact: Pr(p_frt ≤ u) ≤ u</w:t>
      </w:r>
    </w:p>
    <w:p>
      <w:pPr>
        <w:spacing w:after="60"/>
        <w:ind w:left="288"/>
      </w:pPr>
      <w:r>
        <w:rPr>
          <w:sz w:val="20"/>
          <w:szCs w:val="20"/>
        </w:rPr>
        <w:t xml:space="preserve">•  Finite-sample-valid Monte Carlo p-value: p̃ = (1 + count) / (1 + R)</w:t>
      </w:r>
    </w:p>
    <w:p>
      <w:pPr>
        <w:spacing w:after="40" w:before="140"/>
      </w:pPr>
      <w:r>
        <w:rPr>
          <w:b/>
          <w:bCs/>
          <w:color w:val="2C3E50"/>
          <w:sz w:val="20"/>
          <w:szCs w:val="20"/>
        </w:rPr>
        <w:t xml:space="preserve">When to use it</w:t>
      </w:r>
    </w:p>
    <w:p>
      <w:pPr>
        <w:spacing w:after="100"/>
      </w:pPr>
      <w:r>
        <w:rPr>
          <w:sz w:val="21"/>
          <w:szCs w:val="21"/>
        </w:rPr>
        <w:t xml:space="preserve">You want an assumption-light, exact significance test in a randomized design, with any test statistic (mean difference, rank statistic, model coefficient, residual-based statistic).</w:t>
      </w:r>
    </w:p>
    <w:p>
      <w:pPr>
        <w:spacing w:after="40" w:before="140"/>
      </w:pPr>
      <w:r>
        <w:rPr>
          <w:b/>
          <w:bCs/>
          <w:color w:val="2C3E50"/>
          <w:sz w:val="20"/>
          <w:szCs w:val="20"/>
        </w:rPr>
        <w:t xml:space="preserve">Common pitfalls</w:t>
      </w:r>
    </w:p>
    <w:p>
      <w:pPr>
        <w:spacing w:after="100"/>
      </w:pPr>
      <w:r>
        <w:rPr>
          <w:sz w:val="21"/>
          <w:szCs w:val="21"/>
        </w:rPr>
        <w:t xml:space="preserve">The sharp null is a strong claim (zero effect for every unit, not just on average); a significant p_frt does not by itself tell you the size of the average effect — pair it with Neymanian inference (Chapter 4).</w:t>
      </w:r>
    </w:p>
    <w:p>
      <w:pPr>
        <w:pBdr>
          <w:bottom w:val="single" w:color="CCCCCC" w:sz="6" w:space="1"/>
        </w:pBdr>
        <w:spacing w:after="240" w:before="100"/>
      </w:pPr>
    </w:p>
    <w:p>
      <w:pPr>
        <w:shd w:fill="2C3E50" w:color="auto" w:val="clear"/>
        <w:spacing w:after="140" w:before="80"/>
      </w:pPr>
      <w:r>
        <w:rPr>
          <w:b/>
          <w:bCs/>
          <w:color w:val="FFFFFF"/>
          <w:sz w:val="21"/>
          <w:szCs w:val="21"/>
        </w:rPr>
        <w:t xml:space="preserve">→  APPLY THIS TO YOUR PROJECT</w:t>
      </w:r>
    </w:p>
    <w:p>
      <w:pPr>
        <w:spacing w:after="40" w:before="140"/>
      </w:pPr>
      <w:r>
        <w:rPr>
          <w:b/>
          <w:bCs/>
          <w:color w:val="2C3E50"/>
          <w:sz w:val="20"/>
          <w:szCs w:val="20"/>
        </w:rPr>
        <w:t xml:space="preserve">Does this chapter apply to your project? (Yes / No / Partially)</w:t>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How does this concept map onto your project's units, treatment, and outcome?</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Which formula(s) will you compute, and with what data/tooling?</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Notes, risks, or deviations from the textbook assumptions</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r>
        <w:br w:type="page"/>
      </w:r>
    </w:p>
    <w:p>
      <w:pPr>
        <w:pStyle w:val="Heading1"/>
        <w:spacing w:after="150" w:before="200"/>
      </w:pPr>
      <w:r>
        <w:t xml:space="preserve">Chapter 4</w:t>
      </w:r>
    </w:p>
    <w:p>
      <w:pPr>
        <w:spacing w:after="160"/>
      </w:pPr>
      <w:r>
        <w:rPr>
          <w:b/>
          <w:bCs/>
          <w:i/>
          <w:iCs/>
          <w:color w:val="444444"/>
          <w:sz w:val="24"/>
          <w:szCs w:val="24"/>
        </w:rPr>
        <w:t xml:space="preserve">Neymanian Repeated-Sampling Inference in the CRE</w:t>
      </w:r>
    </w:p>
    <w:p>
      <w:pPr>
        <w:spacing w:after="40" w:before="140"/>
      </w:pPr>
      <w:r>
        <w:rPr>
          <w:b/>
          <w:bCs/>
          <w:color w:val="2C3E50"/>
          <w:sz w:val="20"/>
          <w:szCs w:val="20"/>
        </w:rPr>
        <w:t xml:space="preserve">Core theoretical idea</w:t>
      </w:r>
    </w:p>
    <w:p>
      <w:pPr>
        <w:spacing w:after="100"/>
      </w:pPr>
      <w:r>
        <w:rPr>
          <w:sz w:val="21"/>
          <w:szCs w:val="21"/>
        </w:rPr>
        <w:t xml:space="preserve">Treating the potential outcomes as fixed finite-population quantities, the difference-in-means estimator is unbiased for the average effect, with a known (if only partially estimable) sampling variance. The natural variance estimator is conservative, and the excess is entirely due to treatment-effect heterogeneity.</w:t>
      </w:r>
    </w:p>
    <w:p>
      <w:pPr>
        <w:spacing w:after="40" w:before="140"/>
      </w:pPr>
      <w:r>
        <w:rPr>
          <w:b/>
          <w:bCs/>
          <w:color w:val="2C3E50"/>
          <w:sz w:val="20"/>
          <w:szCs w:val="20"/>
        </w:rPr>
        <w:t xml:space="preserve">Key formulas / definitions</w:t>
      </w:r>
    </w:p>
    <w:p>
      <w:pPr>
        <w:spacing w:after="60"/>
        <w:ind w:left="288"/>
      </w:pPr>
      <w:r>
        <w:rPr>
          <w:sz w:val="20"/>
          <w:szCs w:val="20"/>
        </w:rPr>
        <w:t xml:space="preserve">•  var(τ̂) = S²(1)/n1 + S²(0)/n0 − S²(τ)/n</w:t>
      </w:r>
    </w:p>
    <w:p>
      <w:pPr>
        <w:spacing w:after="60"/>
        <w:ind w:left="288"/>
      </w:pPr>
      <w:r>
        <w:rPr>
          <w:sz w:val="20"/>
          <w:szCs w:val="20"/>
        </w:rPr>
        <w:t xml:space="preserve">•  Variance estimator: V̂ = Ŝ²(1)/n1 + Ŝ²(0)/n0</w:t>
      </w:r>
    </w:p>
    <w:p>
      <w:pPr>
        <w:spacing w:after="60"/>
        <w:ind w:left="288"/>
      </w:pPr>
      <w:r>
        <w:rPr>
          <w:sz w:val="20"/>
          <w:szCs w:val="20"/>
        </w:rPr>
        <w:t xml:space="preserve">•  Conservativeness: E(V̂) − var(τ̂) = S²(τ)/n ≥ 0, equality iff constant effects</w:t>
      </w:r>
    </w:p>
    <w:p>
      <w:pPr>
        <w:spacing w:after="40" w:before="140"/>
      </w:pPr>
      <w:r>
        <w:rPr>
          <w:b/>
          <w:bCs/>
          <w:color w:val="2C3E50"/>
          <w:sz w:val="20"/>
          <w:szCs w:val="20"/>
        </w:rPr>
        <w:t xml:space="preserve">When to use it</w:t>
      </w:r>
    </w:p>
    <w:p>
      <w:pPr>
        <w:spacing w:after="100"/>
      </w:pPr>
      <w:r>
        <w:rPr>
          <w:sz w:val="21"/>
          <w:szCs w:val="21"/>
        </w:rPr>
        <w:t xml:space="preserve">You want a standard point estimate and confidence interval for the average treatment effect, and you're comfortable treating the interval as conservative (i.e., possibly wider than necessary) when effects vary across units.</w:t>
      </w:r>
    </w:p>
    <w:p>
      <w:pPr>
        <w:spacing w:after="40" w:before="140"/>
      </w:pPr>
      <w:r>
        <w:rPr>
          <w:b/>
          <w:bCs/>
          <w:color w:val="2C3E50"/>
          <w:sz w:val="20"/>
          <w:szCs w:val="20"/>
        </w:rPr>
        <w:t xml:space="preserve">Common pitfalls</w:t>
      </w:r>
    </w:p>
    <w:p>
      <w:pPr>
        <w:spacing w:after="100"/>
      </w:pPr>
      <w:r>
        <w:rPr>
          <w:sz w:val="21"/>
          <w:szCs w:val="21"/>
        </w:rPr>
        <w:t xml:space="preserve">The true variance formula involves S(1,0), the covariance between potential outcomes, which is never jointly observable — don't try to 'plug in' a sample covariance for it; use the conservative estimator instead.</w:t>
      </w:r>
    </w:p>
    <w:p>
      <w:pPr>
        <w:pBdr>
          <w:bottom w:val="single" w:color="CCCCCC" w:sz="6" w:space="1"/>
        </w:pBdr>
        <w:spacing w:after="240" w:before="100"/>
      </w:pPr>
    </w:p>
    <w:p>
      <w:pPr>
        <w:shd w:fill="2C3E50" w:color="auto" w:val="clear"/>
        <w:spacing w:after="140" w:before="80"/>
      </w:pPr>
      <w:r>
        <w:rPr>
          <w:b/>
          <w:bCs/>
          <w:color w:val="FFFFFF"/>
          <w:sz w:val="21"/>
          <w:szCs w:val="21"/>
        </w:rPr>
        <w:t xml:space="preserve">→  APPLY THIS TO YOUR PROJECT</w:t>
      </w:r>
    </w:p>
    <w:p>
      <w:pPr>
        <w:spacing w:after="40" w:before="140"/>
      </w:pPr>
      <w:r>
        <w:rPr>
          <w:b/>
          <w:bCs/>
          <w:color w:val="2C3E50"/>
          <w:sz w:val="20"/>
          <w:szCs w:val="20"/>
        </w:rPr>
        <w:t xml:space="preserve">Does this chapter apply to your project? (Yes / No / Partially)</w:t>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How does this concept map onto your project's units, treatment, and outcome?</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Which formula(s) will you compute, and with what data/tooling?</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Notes, risks, or deviations from the textbook assumptions</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r>
        <w:br w:type="page"/>
      </w:r>
    </w:p>
    <w:p>
      <w:pPr>
        <w:pStyle w:val="Heading1"/>
        <w:spacing w:after="150" w:before="200"/>
      </w:pPr>
      <w:r>
        <w:t xml:space="preserve">Chapter 5</w:t>
      </w:r>
    </w:p>
    <w:p>
      <w:pPr>
        <w:spacing w:after="160"/>
      </w:pPr>
      <w:r>
        <w:rPr>
          <w:b/>
          <w:bCs/>
          <w:i/>
          <w:iCs/>
          <w:color w:val="444444"/>
          <w:sz w:val="24"/>
          <w:szCs w:val="24"/>
        </w:rPr>
        <w:t xml:space="preserve">Stratification and Post-Stratification in Randomized Experiments</w:t>
      </w:r>
    </w:p>
    <w:p>
      <w:pPr>
        <w:spacing w:after="40" w:before="140"/>
      </w:pPr>
      <w:r>
        <w:rPr>
          <w:b/>
          <w:bCs/>
          <w:color w:val="2C3E50"/>
          <w:sz w:val="20"/>
          <w:szCs w:val="20"/>
        </w:rPr>
        <w:t xml:space="preserve">Core theoretical idea</w:t>
      </w:r>
    </w:p>
    <w:p>
      <w:pPr>
        <w:spacing w:after="100"/>
      </w:pPr>
      <w:r>
        <w:rPr>
          <w:sz w:val="21"/>
          <w:szCs w:val="21"/>
        </w:rPr>
        <w:t xml:space="preserve">Running an independent CRE within each stratum (block) of a prognostic covariate removes between-stratum variance from the treatment-effect comparison, often substantially improving precision relative to an unblocked CRE with the same total sample size.</w:t>
      </w:r>
    </w:p>
    <w:p>
      <w:pPr>
        <w:spacing w:after="40" w:before="140"/>
      </w:pPr>
      <w:r>
        <w:rPr>
          <w:b/>
          <w:bCs/>
          <w:color w:val="2C3E50"/>
          <w:sz w:val="20"/>
          <w:szCs w:val="20"/>
        </w:rPr>
        <w:t xml:space="preserve">Key formulas / definitions</w:t>
      </w:r>
    </w:p>
    <w:p>
      <w:pPr>
        <w:spacing w:after="60"/>
        <w:ind w:left="288"/>
      </w:pPr>
      <w:r>
        <w:rPr>
          <w:sz w:val="20"/>
          <w:szCs w:val="20"/>
        </w:rPr>
        <w:t xml:space="preserve">•  SRE definition: fix n[k]1, n[k]0 in each of K strata; independent CRE within each</w:t>
      </w:r>
    </w:p>
    <w:p>
      <w:pPr>
        <w:spacing w:after="60"/>
        <w:ind w:left="288"/>
      </w:pPr>
      <w:r>
        <w:rPr>
          <w:sz w:val="20"/>
          <w:szCs w:val="20"/>
        </w:rPr>
        <w:t xml:space="preserve">•  Combined estimate: τ̂_SRE = Σ w_k τ̂_k, weights w_k = n_k / n</w:t>
      </w:r>
    </w:p>
    <w:p>
      <w:pPr>
        <w:spacing w:after="60"/>
        <w:ind w:left="288"/>
      </w:pPr>
      <w:r>
        <w:rPr>
          <w:sz w:val="20"/>
          <w:szCs w:val="20"/>
        </w:rPr>
        <w:t xml:space="preserve">•  Combined variance estimator: V̂_SRE = Σ w_k² V̂_k</w:t>
      </w:r>
    </w:p>
    <w:p>
      <w:pPr>
        <w:spacing w:after="40" w:before="140"/>
      </w:pPr>
      <w:r>
        <w:rPr>
          <w:b/>
          <w:bCs/>
          <w:color w:val="2C3E50"/>
          <w:sz w:val="20"/>
          <w:szCs w:val="20"/>
        </w:rPr>
        <w:t xml:space="preserve">When to use it</w:t>
      </w:r>
    </w:p>
    <w:p>
      <w:pPr>
        <w:spacing w:after="100"/>
      </w:pPr>
      <w:r>
        <w:rPr>
          <w:sz w:val="21"/>
          <w:szCs w:val="21"/>
        </w:rPr>
        <w:t xml:space="preserve">You have a pre-treatment variable you strongly suspect is prognostic (site, cohort, baseline severity, region, existing segment) and can assign treatment within categories of it.</w:t>
      </w:r>
    </w:p>
    <w:p>
      <w:pPr>
        <w:spacing w:after="40" w:before="140"/>
      </w:pPr>
      <w:r>
        <w:rPr>
          <w:b/>
          <w:bCs/>
          <w:color w:val="2C3E50"/>
          <w:sz w:val="20"/>
          <w:szCs w:val="20"/>
        </w:rPr>
        <w:t xml:space="preserve">Common pitfalls</w:t>
      </w:r>
    </w:p>
    <w:p>
      <w:pPr>
        <w:spacing w:after="100"/>
      </w:pPr>
      <w:r>
        <w:rPr>
          <w:sz w:val="21"/>
          <w:szCs w:val="21"/>
        </w:rPr>
        <w:t xml:space="preserve">Only stratify on pre-treatment variables; very small strata (fewer than ~2 units per arm) can make within-stratum inference unstable — consider post-stratification (Section 5.4) or pooling small strata.</w:t>
      </w:r>
    </w:p>
    <w:p>
      <w:pPr>
        <w:pBdr>
          <w:bottom w:val="single" w:color="CCCCCC" w:sz="6" w:space="1"/>
        </w:pBdr>
        <w:spacing w:after="240" w:before="100"/>
      </w:pPr>
    </w:p>
    <w:p>
      <w:pPr>
        <w:shd w:fill="2C3E50" w:color="auto" w:val="clear"/>
        <w:spacing w:after="140" w:before="80"/>
      </w:pPr>
      <w:r>
        <w:rPr>
          <w:b/>
          <w:bCs/>
          <w:color w:val="FFFFFF"/>
          <w:sz w:val="21"/>
          <w:szCs w:val="21"/>
        </w:rPr>
        <w:t xml:space="preserve">→  APPLY THIS TO YOUR PROJECT</w:t>
      </w:r>
    </w:p>
    <w:p>
      <w:pPr>
        <w:spacing w:after="40" w:before="140"/>
      </w:pPr>
      <w:r>
        <w:rPr>
          <w:b/>
          <w:bCs/>
          <w:color w:val="2C3E50"/>
          <w:sz w:val="20"/>
          <w:szCs w:val="20"/>
        </w:rPr>
        <w:t xml:space="preserve">Does this chapter apply to your project? (Yes / No / Partially)</w:t>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How does this concept map onto your project's units, treatment, and outcome?</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Which formula(s) will you compute, and with what data/tooling?</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Notes, risks, or deviations from the textbook assumptions</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r>
        <w:br w:type="page"/>
      </w:r>
    </w:p>
    <w:p>
      <w:pPr>
        <w:pStyle w:val="Heading1"/>
        <w:spacing w:after="150" w:before="200"/>
      </w:pPr>
      <w:r>
        <w:t xml:space="preserve">Chapter 6</w:t>
      </w:r>
    </w:p>
    <w:p>
      <w:pPr>
        <w:spacing w:after="160"/>
      </w:pPr>
      <w:r>
        <w:rPr>
          <w:b/>
          <w:bCs/>
          <w:i/>
          <w:iCs/>
          <w:color w:val="444444"/>
          <w:sz w:val="24"/>
          <w:szCs w:val="24"/>
        </w:rPr>
        <w:t xml:space="preserve">Rerandomization and Regression Adjustment</w:t>
      </w:r>
    </w:p>
    <w:p>
      <w:pPr>
        <w:spacing w:after="40" w:before="140"/>
      </w:pPr>
      <w:r>
        <w:rPr>
          <w:b/>
          <w:bCs/>
          <w:color w:val="2C3E50"/>
          <w:sz w:val="20"/>
          <w:szCs w:val="20"/>
        </w:rPr>
        <w:t xml:space="preserve">Core theoretical idea</w:t>
      </w:r>
    </w:p>
    <w:p>
      <w:pPr>
        <w:spacing w:after="100"/>
      </w:pPr>
      <w:r>
        <w:rPr>
          <w:sz w:val="21"/>
          <w:szCs w:val="21"/>
        </w:rPr>
        <w:t xml:space="preserve">Two complementary routes to using covariates for precision: (1) Rerandomization (ReM) rejects design-stage draws with poor covariate balance (measured by Mahalanobis distance) before outcomes are observed; (2) regression adjustment (ANCOVA / Lin 2013) uses covariates after the fact to reduce the variance of the effect estimate, without touching the randomization.</w:t>
      </w:r>
    </w:p>
    <w:p>
      <w:pPr>
        <w:spacing w:after="40" w:before="140"/>
      </w:pPr>
      <w:r>
        <w:rPr>
          <w:b/>
          <w:bCs/>
          <w:color w:val="2C3E50"/>
          <w:sz w:val="20"/>
          <w:szCs w:val="20"/>
        </w:rPr>
        <w:t xml:space="preserve">Key formulas / definitions</w:t>
      </w:r>
    </w:p>
    <w:p>
      <w:pPr>
        <w:spacing w:after="60"/>
        <w:ind w:left="288"/>
      </w:pPr>
      <w:r>
        <w:rPr>
          <w:sz w:val="20"/>
          <w:szCs w:val="20"/>
        </w:rPr>
        <w:t xml:space="preserve">•  ReM acceptance rule: accept Z iff Mahalanobis distance M ≤ a</w:t>
      </w:r>
    </w:p>
    <w:p>
      <w:pPr>
        <w:spacing w:after="60"/>
        <w:ind w:left="288"/>
      </w:pPr>
      <w:r>
        <w:rPr>
          <w:sz w:val="20"/>
          <w:szCs w:val="20"/>
        </w:rPr>
        <w:t xml:space="preserve">•  Lin (2013) estimator: coefficient on Z in regression of Y on Z, centered X, and Z×X interactions</w:t>
      </w:r>
    </w:p>
    <w:p>
      <w:pPr>
        <w:spacing w:after="60"/>
        <w:ind w:left="288"/>
      </w:pPr>
      <w:r>
        <w:rPr>
          <w:sz w:val="20"/>
          <w:szCs w:val="20"/>
        </w:rPr>
        <w:t xml:space="preserve">•  Corrected variance (super-population): EHW + (β1̂−β0̂)ᵀ S²_X (β1̂−β0̂)/n</w:t>
      </w:r>
    </w:p>
    <w:p>
      <w:pPr>
        <w:spacing w:after="40" w:before="140"/>
      </w:pPr>
      <w:r>
        <w:rPr>
          <w:b/>
          <w:bCs/>
          <w:color w:val="2C3E50"/>
          <w:sz w:val="20"/>
          <w:szCs w:val="20"/>
        </w:rPr>
        <w:t xml:space="preserve">When to use it</w:t>
      </w:r>
    </w:p>
    <w:p>
      <w:pPr>
        <w:spacing w:after="100"/>
      </w:pPr>
      <w:r>
        <w:rPr>
          <w:sz w:val="21"/>
          <w:szCs w:val="21"/>
        </w:rPr>
        <w:t xml:space="preserve">You have measured covariates that predict the outcome but either can't fully stratify on them (continuous/multiple covariates) or the design is already fixed and you want to sharpen the analysis after the fact.</w:t>
      </w:r>
    </w:p>
    <w:p>
      <w:pPr>
        <w:spacing w:after="40" w:before="140"/>
      </w:pPr>
      <w:r>
        <w:rPr>
          <w:b/>
          <w:bCs/>
          <w:color w:val="2C3E50"/>
          <w:sz w:val="20"/>
          <w:szCs w:val="20"/>
        </w:rPr>
        <w:t xml:space="preserve">Common pitfalls</w:t>
      </w:r>
    </w:p>
    <w:p>
      <w:pPr>
        <w:spacing w:after="100"/>
      </w:pPr>
      <w:r>
        <w:rPr>
          <w:sz w:val="21"/>
          <w:szCs w:val="21"/>
        </w:rPr>
        <w:t xml:space="preserve">Rerandomization must happen strictly before outcomes are observed — never 'rerandomize' based on results. Regression-adjustment standard errors need the EHW/heteroskedasticity-robust correction, not the default OLS SE, and an extra term is needed under the super-population framework (Chapter 9).</w:t>
      </w:r>
    </w:p>
    <w:p>
      <w:pPr>
        <w:pBdr>
          <w:bottom w:val="single" w:color="CCCCCC" w:sz="6" w:space="1"/>
        </w:pBdr>
        <w:spacing w:after="240" w:before="100"/>
      </w:pPr>
    </w:p>
    <w:p>
      <w:pPr>
        <w:shd w:fill="2C3E50" w:color="auto" w:val="clear"/>
        <w:spacing w:after="140" w:before="80"/>
      </w:pPr>
      <w:r>
        <w:rPr>
          <w:b/>
          <w:bCs/>
          <w:color w:val="FFFFFF"/>
          <w:sz w:val="21"/>
          <w:szCs w:val="21"/>
        </w:rPr>
        <w:t xml:space="preserve">→  APPLY THIS TO YOUR PROJECT</w:t>
      </w:r>
    </w:p>
    <w:p>
      <w:pPr>
        <w:spacing w:after="40" w:before="140"/>
      </w:pPr>
      <w:r>
        <w:rPr>
          <w:b/>
          <w:bCs/>
          <w:color w:val="2C3E50"/>
          <w:sz w:val="20"/>
          <w:szCs w:val="20"/>
        </w:rPr>
        <w:t xml:space="preserve">Does this chapter apply to your project? (Yes / No / Partially)</w:t>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How does this concept map onto your project's units, treatment, and outcome?</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Which formula(s) will you compute, and with what data/tooling?</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Notes, risks, or deviations from the textbook assumptions</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r>
        <w:br w:type="page"/>
      </w:r>
    </w:p>
    <w:p>
      <w:pPr>
        <w:pStyle w:val="Heading1"/>
        <w:spacing w:after="150" w:before="200"/>
      </w:pPr>
      <w:r>
        <w:t xml:space="preserve">Chapter 7</w:t>
      </w:r>
    </w:p>
    <w:p>
      <w:pPr>
        <w:spacing w:after="160"/>
      </w:pPr>
      <w:r>
        <w:rPr>
          <w:b/>
          <w:bCs/>
          <w:i/>
          <w:iCs/>
          <w:color w:val="444444"/>
          <w:sz w:val="24"/>
          <w:szCs w:val="24"/>
        </w:rPr>
        <w:t xml:space="preserve">The Matched-Pairs Experiment (MPE)</w:t>
      </w:r>
    </w:p>
    <w:p>
      <w:pPr>
        <w:spacing w:after="40" w:before="140"/>
      </w:pPr>
      <w:r>
        <w:rPr>
          <w:b/>
          <w:bCs/>
          <w:color w:val="2C3E50"/>
          <w:sz w:val="20"/>
          <w:szCs w:val="20"/>
        </w:rPr>
        <w:t xml:space="preserve">Core theoretical idea</w:t>
      </w:r>
    </w:p>
    <w:p>
      <w:pPr>
        <w:spacing w:after="100"/>
      </w:pPr>
      <w:r>
        <w:rPr>
          <w:sz w:val="21"/>
          <w:szCs w:val="21"/>
        </w:rPr>
        <w:t xml:space="preserve">Pairing similar units before randomization (n/2 pairs, one treated and one control per pair) is stratification carried to its limit. Analysis reduces to a simple comparison of pair differences, with a conservative variance estimator because the true within-pair covariance of potential outcomes is unobservable.</w:t>
      </w:r>
    </w:p>
    <w:p>
      <w:pPr>
        <w:spacing w:after="40" w:before="140"/>
      </w:pPr>
      <w:r>
        <w:rPr>
          <w:b/>
          <w:bCs/>
          <w:color w:val="2C3E50"/>
          <w:sz w:val="20"/>
          <w:szCs w:val="20"/>
        </w:rPr>
        <w:t xml:space="preserve">Key formulas / definitions</w:t>
      </w:r>
    </w:p>
    <w:p>
      <w:pPr>
        <w:spacing w:after="60"/>
        <w:ind w:left="288"/>
      </w:pPr>
      <w:r>
        <w:rPr>
          <w:sz w:val="20"/>
          <w:szCs w:val="20"/>
        </w:rPr>
        <w:t xml:space="preserve">•  MPE definition: n/2 pairs, one unit per pair randomized to treatment</w:t>
      </w:r>
    </w:p>
    <w:p>
      <w:pPr>
        <w:spacing w:after="60"/>
        <w:ind w:left="288"/>
      </w:pPr>
      <w:r>
        <w:rPr>
          <w:sz w:val="20"/>
          <w:szCs w:val="20"/>
        </w:rPr>
        <w:t xml:space="preserve">•  Point estimate: τ̂ = mean of pair differences (cross-pair average)</w:t>
      </w:r>
    </w:p>
    <w:p>
      <w:pPr>
        <w:spacing w:after="60"/>
        <w:ind w:left="288"/>
      </w:pPr>
      <w:r>
        <w:rPr>
          <w:sz w:val="20"/>
          <w:szCs w:val="20"/>
        </w:rPr>
        <w:t xml:space="preserve">•  Conservative variance: V̂ = sample variance of pair differences / (number of pairs)</w:t>
      </w:r>
    </w:p>
    <w:p>
      <w:pPr>
        <w:spacing w:after="40" w:before="140"/>
      </w:pPr>
      <w:r>
        <w:rPr>
          <w:b/>
          <w:bCs/>
          <w:color w:val="2C3E50"/>
          <w:sz w:val="20"/>
          <w:szCs w:val="20"/>
        </w:rPr>
        <w:t xml:space="preserve">When to use it</w:t>
      </w:r>
    </w:p>
    <w:p>
      <w:pPr>
        <w:spacing w:after="100"/>
      </w:pPr>
      <w:r>
        <w:rPr>
          <w:sz w:val="21"/>
          <w:szCs w:val="21"/>
        </w:rPr>
        <w:t xml:space="preserve">You can identify good 1:1 matches for your units before randomizing (twins, adjacent plots, matched patients, paired time periods).</w:t>
      </w:r>
    </w:p>
    <w:p>
      <w:pPr>
        <w:spacing w:after="40" w:before="140"/>
      </w:pPr>
      <w:r>
        <w:rPr>
          <w:b/>
          <w:bCs/>
          <w:color w:val="2C3E50"/>
          <w:sz w:val="20"/>
          <w:szCs w:val="20"/>
        </w:rPr>
        <w:t xml:space="preserve">Common pitfalls</w:t>
      </w:r>
    </w:p>
    <w:p>
      <w:pPr>
        <w:spacing w:after="100"/>
      </w:pPr>
      <w:r>
        <w:rPr>
          <w:sz w:val="21"/>
          <w:szCs w:val="21"/>
        </w:rPr>
        <w:t xml:space="preserve">Poor matches can make the MPE less efficient than a well-designed SRE or CRE — match quality matters more than the fact of matching; verify balance on the matching variables before committing to the design.</w:t>
      </w:r>
    </w:p>
    <w:p>
      <w:pPr>
        <w:pBdr>
          <w:bottom w:val="single" w:color="CCCCCC" w:sz="6" w:space="1"/>
        </w:pBdr>
        <w:spacing w:after="240" w:before="100"/>
      </w:pPr>
    </w:p>
    <w:p>
      <w:pPr>
        <w:shd w:fill="2C3E50" w:color="auto" w:val="clear"/>
        <w:spacing w:after="140" w:before="80"/>
      </w:pPr>
      <w:r>
        <w:rPr>
          <w:b/>
          <w:bCs/>
          <w:color w:val="FFFFFF"/>
          <w:sz w:val="21"/>
          <w:szCs w:val="21"/>
        </w:rPr>
        <w:t xml:space="preserve">→  APPLY THIS TO YOUR PROJECT</w:t>
      </w:r>
    </w:p>
    <w:p>
      <w:pPr>
        <w:spacing w:after="40" w:before="140"/>
      </w:pPr>
      <w:r>
        <w:rPr>
          <w:b/>
          <w:bCs/>
          <w:color w:val="2C3E50"/>
          <w:sz w:val="20"/>
          <w:szCs w:val="20"/>
        </w:rPr>
        <w:t xml:space="preserve">Does this chapter apply to your project? (Yes / No / Partially)</w:t>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How does this concept map onto your project's units, treatment, and outcome?</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Which formula(s) will you compute, and with what data/tooling?</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Notes, risks, or deviations from the textbook assumptions</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r>
        <w:br w:type="page"/>
      </w:r>
    </w:p>
    <w:p>
      <w:pPr>
        <w:pStyle w:val="Heading1"/>
        <w:spacing w:after="150" w:before="200"/>
      </w:pPr>
      <w:r>
        <w:t xml:space="preserve">Chapter 8</w:t>
      </w:r>
    </w:p>
    <w:p>
      <w:pPr>
        <w:spacing w:after="160"/>
      </w:pPr>
      <w:r>
        <w:rPr>
          <w:b/>
          <w:bCs/>
          <w:i/>
          <w:iCs/>
          <w:color w:val="444444"/>
          <w:sz w:val="24"/>
          <w:szCs w:val="24"/>
        </w:rPr>
        <w:t xml:space="preserve">Unification of Fisherian and Neymanian Inference</w:t>
      </w:r>
    </w:p>
    <w:p>
      <w:pPr>
        <w:spacing w:after="40" w:before="140"/>
      </w:pPr>
      <w:r>
        <w:rPr>
          <w:b/>
          <w:bCs/>
          <w:color w:val="2C3E50"/>
          <w:sz w:val="20"/>
          <w:szCs w:val="20"/>
        </w:rPr>
        <w:t xml:space="preserve">Core theoretical idea</w:t>
      </w:r>
    </w:p>
    <w:p>
      <w:pPr>
        <w:spacing w:after="100"/>
      </w:pPr>
      <w:r>
        <w:rPr>
          <w:sz w:val="21"/>
          <w:szCs w:val="21"/>
        </w:rPr>
        <w:t xml:space="preserve">The FRT (Chapter 3) tests the strong/sharp null; the Neymanian interval (Chapter 4) targets the weak null of a zero average effect. Using a studentized statistic (t = τ̂/√V̂) in the FRT achieves both: finite-sample exactness under the sharp null AND asymptotic conservativeness under the weak null — a dual guarantee that the unstudentized FRT does not have.</w:t>
      </w:r>
    </w:p>
    <w:p>
      <w:pPr>
        <w:spacing w:after="40" w:before="140"/>
      </w:pPr>
      <w:r>
        <w:rPr>
          <w:b/>
          <w:bCs/>
          <w:color w:val="2C3E50"/>
          <w:sz w:val="20"/>
          <w:szCs w:val="20"/>
        </w:rPr>
        <w:t xml:space="preserve">Key formulas / definitions</w:t>
      </w:r>
    </w:p>
    <w:p>
      <w:pPr>
        <w:spacing w:after="60"/>
        <w:ind w:left="288"/>
      </w:pPr>
      <w:r>
        <w:rPr>
          <w:sz w:val="20"/>
          <w:szCs w:val="20"/>
        </w:rPr>
        <w:t xml:space="preserve">•  Strong null: H0f : Yi(1)=Yi(0) ∀i     Weak null: H0n : τ = 0</w:t>
      </w:r>
    </w:p>
    <w:p>
      <w:pPr>
        <w:spacing w:after="60"/>
        <w:ind w:left="288"/>
      </w:pPr>
      <w:r>
        <w:rPr>
          <w:sz w:val="20"/>
          <w:szCs w:val="20"/>
        </w:rPr>
        <w:t xml:space="preserve">•  Studentized statistic: t = τ̂ / √V̂</w:t>
      </w:r>
    </w:p>
    <w:p>
      <w:pPr>
        <w:spacing w:after="60"/>
        <w:ind w:left="288"/>
      </w:pPr>
      <w:r>
        <w:rPr>
          <w:sz w:val="20"/>
          <w:szCs w:val="20"/>
        </w:rPr>
        <w:t xml:space="preserve">•  Dual guarantee: p_frt(t) exact under H0f; asymptotically conservative under H0n</w:t>
      </w:r>
    </w:p>
    <w:p>
      <w:pPr>
        <w:spacing w:after="40" w:before="140"/>
      </w:pPr>
      <w:r>
        <w:rPr>
          <w:b/>
          <w:bCs/>
          <w:color w:val="2C3E50"/>
          <w:sz w:val="20"/>
          <w:szCs w:val="20"/>
        </w:rPr>
        <w:t xml:space="preserve">When to use it</w:t>
      </w:r>
    </w:p>
    <w:p>
      <w:pPr>
        <w:spacing w:after="100"/>
      </w:pPr>
      <w:r>
        <w:rPr>
          <w:sz w:val="21"/>
          <w:szCs w:val="21"/>
        </w:rPr>
        <w:t xml:space="preserve">You want to report one p-value that behaves rigorously as an exact randomization test AND as a general-purpose significance test for the average effect — the recommended default for most applied reporting.</w:t>
      </w:r>
    </w:p>
    <w:p>
      <w:pPr>
        <w:spacing w:after="40" w:before="140"/>
      </w:pPr>
      <w:r>
        <w:rPr>
          <w:b/>
          <w:bCs/>
          <w:color w:val="2C3E50"/>
          <w:sz w:val="20"/>
          <w:szCs w:val="20"/>
        </w:rPr>
        <w:t xml:space="preserve">Common pitfalls</w:t>
      </w:r>
    </w:p>
    <w:p>
      <w:pPr>
        <w:spacing w:after="100"/>
      </w:pPr>
      <w:r>
        <w:rPr>
          <w:sz w:val="21"/>
          <w:szCs w:val="21"/>
        </w:rPr>
        <w:t xml:space="preserve">Using the raw (unstudentized) difference-in-means as the FRT statistic can be anti-conservative under the weak null when effects are heterogeneous — always studentize when reporting the result as a general test.</w:t>
      </w:r>
    </w:p>
    <w:p>
      <w:pPr>
        <w:pBdr>
          <w:bottom w:val="single" w:color="CCCCCC" w:sz="6" w:space="1"/>
        </w:pBdr>
        <w:spacing w:after="240" w:before="100"/>
      </w:pPr>
    </w:p>
    <w:p>
      <w:pPr>
        <w:shd w:fill="2C3E50" w:color="auto" w:val="clear"/>
        <w:spacing w:after="140" w:before="80"/>
      </w:pPr>
      <w:r>
        <w:rPr>
          <w:b/>
          <w:bCs/>
          <w:color w:val="FFFFFF"/>
          <w:sz w:val="21"/>
          <w:szCs w:val="21"/>
        </w:rPr>
        <w:t xml:space="preserve">→  APPLY THIS TO YOUR PROJECT</w:t>
      </w:r>
    </w:p>
    <w:p>
      <w:pPr>
        <w:spacing w:after="40" w:before="140"/>
      </w:pPr>
      <w:r>
        <w:rPr>
          <w:b/>
          <w:bCs/>
          <w:color w:val="2C3E50"/>
          <w:sz w:val="20"/>
          <w:szCs w:val="20"/>
        </w:rPr>
        <w:t xml:space="preserve">Does this chapter apply to your project? (Yes / No / Partially)</w:t>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How does this concept map onto your project's units, treatment, and outcome?</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Which formula(s) will you compute, and with what data/tooling?</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Notes, risks, or deviations from the textbook assumptions</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r>
        <w:br w:type="page"/>
      </w:r>
    </w:p>
    <w:p>
      <w:pPr>
        <w:pStyle w:val="Heading1"/>
        <w:spacing w:after="150" w:before="200"/>
      </w:pPr>
      <w:r>
        <w:t xml:space="preserve">Chapter 9</w:t>
      </w:r>
    </w:p>
    <w:p>
      <w:pPr>
        <w:spacing w:after="160"/>
      </w:pPr>
      <w:r>
        <w:rPr>
          <w:b/>
          <w:bCs/>
          <w:i/>
          <w:iCs/>
          <w:color w:val="444444"/>
          <w:sz w:val="24"/>
          <w:szCs w:val="24"/>
        </w:rPr>
        <w:t xml:space="preserve">Bridging Finite- and Super-Population Causal Inference</w:t>
      </w:r>
    </w:p>
    <w:p>
      <w:pPr>
        <w:spacing w:after="40" w:before="140"/>
      </w:pPr>
      <w:r>
        <w:rPr>
          <w:b/>
          <w:bCs/>
          <w:color w:val="2C3E50"/>
          <w:sz w:val="20"/>
          <w:szCs w:val="20"/>
        </w:rPr>
        <w:t xml:space="preserve">Core theoretical idea</w:t>
      </w:r>
    </w:p>
    <w:p>
      <w:pPr>
        <w:spacing w:after="100"/>
      </w:pPr>
      <w:r>
        <w:rPr>
          <w:sz w:val="21"/>
          <w:szCs w:val="21"/>
        </w:rPr>
        <w:t xml:space="preserve">Assuming units are an IID draw from a super-population trades the finite-population framework's design-based purity for external validity and cleaner asymptotics: the naive variance estimator is now (asymptotically) unbiased rather than conservative, since sample variances estimate population variances directly.</w:t>
      </w:r>
    </w:p>
    <w:p>
      <w:pPr>
        <w:spacing w:after="40" w:before="140"/>
      </w:pPr>
      <w:r>
        <w:rPr>
          <w:b/>
          <w:bCs/>
          <w:color w:val="2C3E50"/>
          <w:sz w:val="20"/>
          <w:szCs w:val="20"/>
        </w:rPr>
        <w:t xml:space="preserve">Key formulas / definitions</w:t>
      </w:r>
    </w:p>
    <w:p>
      <w:pPr>
        <w:spacing w:after="60"/>
        <w:ind w:left="288"/>
      </w:pPr>
      <w:r>
        <w:rPr>
          <w:sz w:val="20"/>
          <w:szCs w:val="20"/>
        </w:rPr>
        <w:t xml:space="preserve">•  Internal validity: valid for the study sample.   External validity: valid for a broader population.</w:t>
      </w:r>
    </w:p>
    <w:p>
      <w:pPr>
        <w:spacing w:after="60"/>
        <w:ind w:left="288"/>
      </w:pPr>
      <w:r>
        <w:rPr>
          <w:sz w:val="20"/>
          <w:szCs w:val="20"/>
        </w:rPr>
        <w:t xml:space="preserve">•  Super-population CRE: Z ⊥ {Y(1),Y(0),X}, τ = E{Y(1)} − E{Y(0)}</w:t>
      </w:r>
    </w:p>
    <w:p>
      <w:pPr>
        <w:spacing w:after="60"/>
        <w:ind w:left="288"/>
      </w:pPr>
      <w:r>
        <w:rPr>
          <w:sz w:val="20"/>
          <w:szCs w:val="20"/>
        </w:rPr>
        <w:t xml:space="preserve">•  Identification: τ = E(Y|Z=1) − E(Y|Z=0)  (nonparametrically identifiable)</w:t>
      </w:r>
    </w:p>
    <w:p>
      <w:pPr>
        <w:spacing w:after="40" w:before="140"/>
      </w:pPr>
      <w:r>
        <w:rPr>
          <w:b/>
          <w:bCs/>
          <w:color w:val="2C3E50"/>
          <w:sz w:val="20"/>
          <w:szCs w:val="20"/>
        </w:rPr>
        <w:t xml:space="preserve">When to use it</w:t>
      </w:r>
    </w:p>
    <w:p>
      <w:pPr>
        <w:spacing w:after="100"/>
      </w:pPr>
      <w:r>
        <w:rPr>
          <w:sz w:val="21"/>
          <w:szCs w:val="21"/>
        </w:rPr>
        <w:t xml:space="preserve">You need your conclusions to generalize beyond the exact sampled units — e.g., informing a policy or product decision for a broader future population, or bridging into non-randomized/observational analysis.</w:t>
      </w:r>
    </w:p>
    <w:p>
      <w:pPr>
        <w:spacing w:after="40" w:before="140"/>
      </w:pPr>
      <w:r>
        <w:rPr>
          <w:b/>
          <w:bCs/>
          <w:color w:val="2C3E50"/>
          <w:sz w:val="20"/>
          <w:szCs w:val="20"/>
        </w:rPr>
        <w:t xml:space="preserve">Common pitfalls</w:t>
      </w:r>
    </w:p>
    <w:p>
      <w:pPr>
        <w:spacing w:after="100"/>
      </w:pPr>
      <w:r>
        <w:rPr>
          <w:sz w:val="21"/>
          <w:szCs w:val="21"/>
        </w:rPr>
        <w:t xml:space="preserve">External validity requires the sample to be a representative draw from the population of interest; randomization alone only buys you internal validity. Don't conflate 'random assignment' with 'random sampling from the target population.'</w:t>
      </w:r>
    </w:p>
    <w:p>
      <w:pPr>
        <w:pBdr>
          <w:bottom w:val="single" w:color="CCCCCC" w:sz="6" w:space="1"/>
        </w:pBdr>
        <w:spacing w:after="240" w:before="100"/>
      </w:pPr>
    </w:p>
    <w:p>
      <w:pPr>
        <w:shd w:fill="2C3E50" w:color="auto" w:val="clear"/>
        <w:spacing w:after="140" w:before="80"/>
      </w:pPr>
      <w:r>
        <w:rPr>
          <w:b/>
          <w:bCs/>
          <w:color w:val="FFFFFF"/>
          <w:sz w:val="21"/>
          <w:szCs w:val="21"/>
        </w:rPr>
        <w:t xml:space="preserve">→  APPLY THIS TO YOUR PROJECT</w:t>
      </w:r>
    </w:p>
    <w:p>
      <w:pPr>
        <w:spacing w:after="40" w:before="140"/>
      </w:pPr>
      <w:r>
        <w:rPr>
          <w:b/>
          <w:bCs/>
          <w:color w:val="2C3E50"/>
          <w:sz w:val="20"/>
          <w:szCs w:val="20"/>
        </w:rPr>
        <w:t xml:space="preserve">Does this chapter apply to your project? (Yes / No / Partially)</w:t>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How does this concept map onto your project's units, treatment, and outcome?</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Which formula(s) will you compute, and with what data/tooling?</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Notes, risks, or deviations from the textbook assumptions</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r>
        <w:br w:type="page"/>
      </w:r>
    </w:p>
    <w:p>
      <w:pPr>
        <w:pStyle w:val="Heading1"/>
        <w:spacing w:after="150" w:before="200"/>
      </w:pPr>
      <w:r>
        <w:t xml:space="preserve">Project-Level Summary</w:t>
      </w:r>
    </w:p>
    <w:p>
      <w:pPr>
        <w:spacing w:after="160"/>
      </w:pPr>
      <w:r>
        <w:rPr>
          <w:i/>
          <w:iCs/>
          <w:color w:val="666666"/>
          <w:sz w:val="20"/>
          <w:szCs w:val="20"/>
        </w:rPr>
        <w:t xml:space="preserve">Fill this in once you've completed the chapter-by-chapter worksheets above — it should read as a short abstract of your experimental design and analysis plan.</w:t>
      </w:r>
    </w:p>
    <w:p>
      <w:pPr>
        <w:spacing w:after="40" w:before="140"/>
      </w:pPr>
      <w:r>
        <w:rPr>
          <w:b/>
          <w:bCs/>
          <w:color w:val="2C3E50"/>
          <w:sz w:val="20"/>
          <w:szCs w:val="20"/>
        </w:rPr>
        <w:t xml:space="preserve">Project name / experiment name</w:t>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Estimand (what causal effect are you estimating, for whom?)</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Chosen design (CRE / SRE / MPE / ReM) and why</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Primary Fisherian analysis (test statistic, p-value approach)</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Primary Neymanian analysis (estimator, variance estimator)</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after="40" w:before="140"/>
      </w:pPr>
      <w:r>
        <w:rPr>
          <w:b/>
          <w:bCs/>
          <w:color w:val="2C3E50"/>
          <w:sz w:val="20"/>
          <w:szCs w:val="20"/>
        </w:rPr>
        <w:t xml:space="preserve">Internal vs. external validity assessment</w:t>
      </w:r>
    </w:p>
    <w:p>
      <w:pPr>
        <w:pBdr>
          <w:bottom w:val="single" w:color="999999" w:sz="4" w:space="1"/>
        </w:pBdr>
        <w:spacing w:after="220"/>
      </w:pPr>
      <w:r>
        <w:rPr>
          <w:sz w:val="20"/>
          <w:szCs w:val="20"/>
        </w:rPr>
        <w:t xml:space="preserve"/>
      </w:r>
    </w:p>
    <w:p>
      <w:pPr>
        <w:pBdr>
          <w:bottom w:val="single" w:color="999999" w:sz="4" w:space="1"/>
        </w:pBdr>
        <w:spacing w:after="220"/>
      </w:pPr>
      <w:r>
        <w:rPr>
          <w:sz w:val="20"/>
          <w:szCs w:val="20"/>
        </w:rPr>
        <w:t xml:space="preserve"/>
      </w:r>
    </w:p>
    <w:p>
      <w:pPr>
        <w:spacing w:before="200"/>
      </w:pPr>
    </w:p>
    <w:p>
      <w:pPr>
        <w:spacing w:after="160"/>
      </w:pPr>
      <w:r>
        <w:rPr>
          <w:i/>
          <w:iCs/>
          <w:color w:val="666666"/>
          <w:sz w:val="20"/>
          <w:szCs w:val="20"/>
        </w:rPr>
        <w:t xml:space="preserve">Companion documents: Applicability Checklist (.docx), Top-10 Practical Applications (.docx), Chapter Mindmap (.png), and the Exercise-Solutions Jupyter Notebook (.ipynb).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2026-08-19T10:29:06.109Z</dcterms:created>
  <dcterms:modified xsi:type="dcterms:W3CDTF">2026-08-19T10:29:06.121Z</dcterms:modified>
</cp:coreProperties>
</file>

<file path=docProps/custom.xml><?xml version="1.0" encoding="utf-8"?>
<Properties xmlns="http://schemas.openxmlformats.org/officeDocument/2006/custom-properties" xmlns:vt="http://schemas.openxmlformats.org/officeDocument/2006/docPropsVTypes"/>
</file>