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C3E50"/>
          <w:sz w:val="46"/>
          <w:szCs w:val="46"/>
        </w:rPr>
        <w:t xml:space="preserve">Top 10 Practical Applications</w:t>
      </w:r>
    </w:p>
    <w:p>
      <w:pPr>
        <w:spacing w:after="60"/>
      </w:pPr>
      <w:r>
        <w:rPr>
          <w:color w:val="555555"/>
          <w:sz w:val="24"/>
          <w:szCs w:val="24"/>
        </w:rPr>
        <w:t xml:space="preserve">Turning Randomized-Experiment Causal Inference Theory into Real Projects</w:t>
      </w:r>
    </w:p>
    <w:p>
      <w:pPr>
        <w:spacing w:after="260"/>
      </w:pPr>
      <w:r>
        <w:rPr>
          <w:i/>
          <w:iCs/>
          <w:color w:val="888888"/>
          <w:sz w:val="20"/>
          <w:szCs w:val="20"/>
        </w:rPr>
        <w:t xml:space="preserve">Based on: A First Course in Causal Inference, Part II — Randomized Experiments (Chapters 3–9)</w:t>
      </w:r>
    </w:p>
    <w:p>
      <w:pPr>
        <w:pBdr>
          <w:bottom w:val="single" w:color="CCCCCC" w:sz="6" w:space="1"/>
        </w:pBdr>
        <w:spacing w:after="240" w:before="160"/>
      </w:pPr>
    </w:p>
    <w:p>
      <w:pPr>
        <w:spacing w:after="200"/>
      </w:pPr>
      <w:r>
        <w:rPr>
          <w:i/>
          <w:iCs/>
          <w:color w:val="666666"/>
          <w:sz w:val="20"/>
          <w:szCs w:val="20"/>
        </w:rPr>
        <w:t xml:space="preserve">Each application below names the setting, the chapters that map most directly onto it, and why the theory is a particularly good fit — use this as a starting point for identifying which parts of the theory to prioritize learning deeply for your own project.</w:t>
      </w:r>
    </w:p>
    <w:p>
      <w:pPr>
        <w:spacing w:after="100" w:before="260"/>
      </w:pPr>
      <w:r>
        <w:rPr>
          <w:b/>
          <w:bCs/>
          <w:color w:val="8E44AD"/>
          <w:sz w:val="28"/>
          <w:szCs w:val="28"/>
        </w:rPr>
        <w:t xml:space="preserve">1.  </w:t>
      </w:r>
      <w:r>
        <w:rPr>
          <w:b/>
          <w:bCs/>
          <w:color w:val="2C3E50"/>
          <w:sz w:val="26"/>
          <w:szCs w:val="26"/>
        </w:rPr>
        <w:t xml:space="preserve">A/B Testing in Digital Products (web, app, e-commerce)</w:t>
      </w:r>
    </w:p>
    <w:p>
      <w:pPr>
        <w:spacing w:after="40" w:before="100"/>
      </w:pPr>
      <w:r>
        <w:rPr>
          <w:b/>
          <w:bCs/>
          <w:color w:val="2C3E50"/>
          <w:sz w:val="20"/>
          <w:szCs w:val="20"/>
        </w:rPr>
        <w:t xml:space="preserve">What it looks like</w:t>
      </w:r>
    </w:p>
    <w:p>
      <w:pPr>
        <w:spacing w:after="100"/>
      </w:pPr>
      <w:r>
        <w:rPr>
          <w:sz w:val="21"/>
          <w:szCs w:val="21"/>
        </w:rPr>
        <w:t xml:space="preserve">Randomly assign users/sessions to a control vs. one or more treatment variants of a feature, price, or UI, and measure the effect on a metric (conversion, revenue, engagement).</w:t>
      </w:r>
    </w:p>
    <w:p>
      <w:pPr>
        <w:spacing w:after="40" w:before="100"/>
      </w:pPr>
      <w:r>
        <w:rPr>
          <w:b/>
          <w:bCs/>
          <w:color w:val="2C3E50"/>
          <w:sz w:val="20"/>
          <w:szCs w:val="20"/>
        </w:rPr>
        <w:t xml:space="preserve">Relevant chapters</w:t>
      </w:r>
    </w:p>
    <w:p>
      <w:pPr>
        <w:spacing w:after="100"/>
      </w:pPr>
      <w:r>
        <w:rPr>
          <w:sz w:val="21"/>
          <w:szCs w:val="21"/>
        </w:rPr>
        <w:t xml:space="preserve">Ch. 3 (FRT for exact significance on small/short-run tests), Ch. 4 (point estimate &amp; CI), Ch. 6 (CUPED-style variance reduction via Lin's estimator using pre-experiment covariates), Ch. 8 (studentized FRT as the default significance test).</w:t>
      </w:r>
    </w:p>
    <w:p>
      <w:pPr>
        <w:spacing w:after="40" w:before="100"/>
      </w:pPr>
      <w:r>
        <w:rPr>
          <w:b/>
          <w:bCs/>
          <w:color w:val="2C3E50"/>
          <w:sz w:val="20"/>
          <w:szCs w:val="20"/>
        </w:rPr>
        <w:t xml:space="preserve">Why the theory fits</w:t>
      </w:r>
    </w:p>
    <w:p>
      <w:pPr>
        <w:spacing w:after="100"/>
      </w:pPr>
      <w:r>
        <w:rPr>
          <w:sz w:val="21"/>
          <w:szCs w:val="21"/>
        </w:rPr>
        <w:t xml:space="preserve">The CRE is the default design for most digital experimentation platforms; the theory's exact FRT is especially valuable for short-running tests or rare-event metrics where normal-approximation p-values are unreliable, and regression adjustment on pre-period metrics (Lin 2013 / CUPED) is the industry-standard variance-reduction technique.</w:t>
      </w:r>
    </w:p>
    <w:p>
      <w:pPr>
        <w:pBdr>
          <w:bottom w:val="single" w:color="CCCCCC" w:sz="6" w:space="1"/>
        </w:pBdr>
        <w:spacing w:after="240" w:before="160"/>
      </w:pPr>
    </w:p>
    <w:p>
      <w:pPr>
        <w:spacing w:after="100" w:before="260"/>
      </w:pPr>
      <w:r>
        <w:rPr>
          <w:b/>
          <w:bCs/>
          <w:color w:val="2980B9"/>
          <w:sz w:val="28"/>
          <w:szCs w:val="28"/>
        </w:rPr>
        <w:t xml:space="preserve">2.  </w:t>
      </w:r>
      <w:r>
        <w:rPr>
          <w:b/>
          <w:bCs/>
          <w:color w:val="2C3E50"/>
          <w:sz w:val="26"/>
          <w:szCs w:val="26"/>
        </w:rPr>
        <w:t xml:space="preserve">Randomized Clinical Trials</w:t>
      </w:r>
    </w:p>
    <w:p>
      <w:pPr>
        <w:spacing w:after="40" w:before="100"/>
      </w:pPr>
      <w:r>
        <w:rPr>
          <w:b/>
          <w:bCs/>
          <w:color w:val="2C3E50"/>
          <w:sz w:val="20"/>
          <w:szCs w:val="20"/>
        </w:rPr>
        <w:t xml:space="preserve">What it looks like</w:t>
      </w:r>
    </w:p>
    <w:p>
      <w:pPr>
        <w:spacing w:after="100"/>
      </w:pPr>
      <w:r>
        <w:rPr>
          <w:sz w:val="21"/>
          <w:szCs w:val="21"/>
        </w:rPr>
        <w:t xml:space="preserve">Randomly assign patients to a new treatment vs. standard-of-care or placebo, often stratified by site, disease severity, or demographic factors, sometimes with matched pairs (e.g., twin studies, matched cohorts).</w:t>
      </w:r>
    </w:p>
    <w:p>
      <w:pPr>
        <w:spacing w:after="40" w:before="100"/>
      </w:pPr>
      <w:r>
        <w:rPr>
          <w:b/>
          <w:bCs/>
          <w:color w:val="2C3E50"/>
          <w:sz w:val="20"/>
          <w:szCs w:val="20"/>
        </w:rPr>
        <w:t xml:space="preserve">Relevant chapters</w:t>
      </w:r>
    </w:p>
    <w:p>
      <w:pPr>
        <w:spacing w:after="100"/>
      </w:pPr>
      <w:r>
        <w:rPr>
          <w:sz w:val="21"/>
          <w:szCs w:val="21"/>
        </w:rPr>
        <w:t xml:space="preserve">Ch. 3 (FRT, historically Fisher's original motivation), Ch. 5 (multi-site trials as SREs), Ch. 7 (matched-pairs designs), Ch. 6 (covariate adjustment for baseline severity).</w:t>
      </w:r>
    </w:p>
    <w:p>
      <w:pPr>
        <w:spacing w:after="40" w:before="100"/>
      </w:pPr>
      <w:r>
        <w:rPr>
          <w:b/>
          <w:bCs/>
          <w:color w:val="2C3E50"/>
          <w:sz w:val="20"/>
          <w:szCs w:val="20"/>
        </w:rPr>
        <w:t xml:space="preserve">Why the theory fits</w:t>
      </w:r>
    </w:p>
    <w:p>
      <w:pPr>
        <w:spacing w:after="100"/>
      </w:pPr>
      <w:r>
        <w:rPr>
          <w:sz w:val="21"/>
          <w:szCs w:val="21"/>
        </w:rPr>
        <w:t xml:space="preserve">Regulatory bodies favor the FRT's assumption-light exactness for primary endpoints; stratifying by clinical site or risk category is standard practice and maps directly onto the SRE framework; matched designs are common in early-phase or resource-constrained trials.</w:t>
      </w:r>
    </w:p>
    <w:p>
      <w:pPr>
        <w:pBdr>
          <w:bottom w:val="single" w:color="CCCCCC" w:sz="6" w:space="1"/>
        </w:pBdr>
        <w:spacing w:after="240" w:before="160"/>
      </w:pPr>
    </w:p>
    <w:p>
      <w:pPr>
        <w:spacing w:after="100" w:before="260"/>
      </w:pPr>
      <w:r>
        <w:rPr>
          <w:b/>
          <w:bCs/>
          <w:color w:val="16A085"/>
          <w:sz w:val="28"/>
          <w:szCs w:val="28"/>
        </w:rPr>
        <w:t xml:space="preserve">3.  </w:t>
      </w:r>
      <w:r>
        <w:rPr>
          <w:b/>
          <w:bCs/>
          <w:color w:val="2C3E50"/>
          <w:sz w:val="26"/>
          <w:szCs w:val="26"/>
        </w:rPr>
        <w:t xml:space="preserve">Agricultural and Field Trials</w:t>
      </w:r>
    </w:p>
    <w:p>
      <w:pPr>
        <w:spacing w:after="40" w:before="100"/>
      </w:pPr>
      <w:r>
        <w:rPr>
          <w:b/>
          <w:bCs/>
          <w:color w:val="2C3E50"/>
          <w:sz w:val="20"/>
          <w:szCs w:val="20"/>
        </w:rPr>
        <w:t xml:space="preserve">What it looks like</w:t>
      </w:r>
    </w:p>
    <w:p>
      <w:pPr>
        <w:spacing w:after="100"/>
      </w:pPr>
      <w:r>
        <w:rPr>
          <w:sz w:val="21"/>
          <w:szCs w:val="21"/>
        </w:rPr>
        <w:t xml:space="preserve">Randomly assign treatments (fertilizer, seed variety, irrigation method) to plots of land, typically blocked by field, soil type, or row/column position.</w:t>
      </w:r>
    </w:p>
    <w:p>
      <w:pPr>
        <w:spacing w:after="40" w:before="100"/>
      </w:pPr>
      <w:r>
        <w:rPr>
          <w:b/>
          <w:bCs/>
          <w:color w:val="2C3E50"/>
          <w:sz w:val="20"/>
          <w:szCs w:val="20"/>
        </w:rPr>
        <w:t xml:space="preserve">Relevant chapters</w:t>
      </w:r>
    </w:p>
    <w:p>
      <w:pPr>
        <w:spacing w:after="100"/>
      </w:pPr>
      <w:r>
        <w:rPr>
          <w:sz w:val="21"/>
          <w:szCs w:val="21"/>
        </w:rPr>
        <w:t xml:space="preserve">Ch. 3 &amp; 5 (this is the historical origin of both the FRT and stratified/blocked designs — Fisher's own agricultural experiments), Ch. 7 (paired plots, as in Darwin's corn data example).</w:t>
      </w:r>
    </w:p>
    <w:p>
      <w:pPr>
        <w:spacing w:after="40" w:before="100"/>
      </w:pPr>
      <w:r>
        <w:rPr>
          <w:b/>
          <w:bCs/>
          <w:color w:val="2C3E50"/>
          <w:sz w:val="20"/>
          <w:szCs w:val="20"/>
        </w:rPr>
        <w:t xml:space="preserve">Why the theory fits</w:t>
      </w:r>
    </w:p>
    <w:p>
      <w:pPr>
        <w:spacing w:after="100"/>
      </w:pPr>
      <w:r>
        <w:rPr>
          <w:sz w:val="21"/>
          <w:szCs w:val="21"/>
        </w:rPr>
        <w:t xml:space="preserve">This is the domain the entire theory was originally built for; blocking by field characteristics is essential because spatial heterogeneity in soil and microclimate is often the dominant source of outcome variance.</w:t>
      </w:r>
    </w:p>
    <w:p>
      <w:pPr>
        <w:pBdr>
          <w:bottom w:val="single" w:color="CCCCCC" w:sz="6" w:space="1"/>
        </w:pBdr>
        <w:spacing w:after="240" w:before="160"/>
      </w:pPr>
    </w:p>
    <w:p>
      <w:pPr>
        <w:spacing w:after="100" w:before="260"/>
      </w:pPr>
      <w:r>
        <w:rPr>
          <w:b/>
          <w:bCs/>
          <w:color w:val="D35400"/>
          <w:sz w:val="28"/>
          <w:szCs w:val="28"/>
        </w:rPr>
        <w:t xml:space="preserve">4.  </w:t>
      </w:r>
      <w:r>
        <w:rPr>
          <w:b/>
          <w:bCs/>
          <w:color w:val="2C3E50"/>
          <w:sz w:val="26"/>
          <w:szCs w:val="26"/>
        </w:rPr>
        <w:t xml:space="preserve">Marketing Campaign &amp; Promotion Evaluation</w:t>
      </w:r>
    </w:p>
    <w:p>
      <w:pPr>
        <w:spacing w:after="40" w:before="100"/>
      </w:pPr>
      <w:r>
        <w:rPr>
          <w:b/>
          <w:bCs/>
          <w:color w:val="2C3E50"/>
          <w:sz w:val="20"/>
          <w:szCs w:val="20"/>
        </w:rPr>
        <w:t xml:space="preserve">What it looks like</w:t>
      </w:r>
    </w:p>
    <w:p>
      <w:pPr>
        <w:spacing w:after="100"/>
      </w:pPr>
      <w:r>
        <w:rPr>
          <w:sz w:val="21"/>
          <w:szCs w:val="21"/>
        </w:rPr>
        <w:t xml:space="preserve">Randomly assign customers, stores, or regions to receive a marketing treatment (ad campaign, discount, email) vs. a holdout control group.</w:t>
      </w:r>
    </w:p>
    <w:p>
      <w:pPr>
        <w:spacing w:after="40" w:before="100"/>
      </w:pPr>
      <w:r>
        <w:rPr>
          <w:b/>
          <w:bCs/>
          <w:color w:val="2C3E50"/>
          <w:sz w:val="20"/>
          <w:szCs w:val="20"/>
        </w:rPr>
        <w:t xml:space="preserve">Relevant chapters</w:t>
      </w:r>
    </w:p>
    <w:p>
      <w:pPr>
        <w:spacing w:after="100"/>
      </w:pPr>
      <w:r>
        <w:rPr>
          <w:sz w:val="21"/>
          <w:szCs w:val="21"/>
        </w:rPr>
        <w:t xml:space="preserve">Ch. 6 (rerandomization to balance customer covariates like past spend before launch), Ch. 5 (stratify by region or customer segment), Ch. 4 (Neymanian CI on incremental revenue/lift).</w:t>
      </w:r>
    </w:p>
    <w:p>
      <w:pPr>
        <w:spacing w:after="40" w:before="100"/>
      </w:pPr>
      <w:r>
        <w:rPr>
          <w:b/>
          <w:bCs/>
          <w:color w:val="2C3E50"/>
          <w:sz w:val="20"/>
          <w:szCs w:val="20"/>
        </w:rPr>
        <w:t xml:space="preserve">Why the theory fits</w:t>
      </w:r>
    </w:p>
    <w:p>
      <w:pPr>
        <w:spacing w:after="100"/>
      </w:pPr>
      <w:r>
        <w:rPr>
          <w:sz w:val="21"/>
          <w:szCs w:val="21"/>
        </w:rPr>
        <w:t xml:space="preserve">Marketing populations are often small and highly heterogeneous (whales vs. casual customers), making rerandomization or stratification on historical spend/engagement especially valuable for precision, since re-running a campaign is costly.</w:t>
      </w:r>
    </w:p>
    <w:p>
      <w:pPr>
        <w:pBdr>
          <w:bottom w:val="single" w:color="CCCCCC" w:sz="6" w:space="1"/>
        </w:pBdr>
        <w:spacing w:after="240" w:before="160"/>
      </w:pPr>
    </w:p>
    <w:p>
      <w:pPr>
        <w:spacing w:after="100" w:before="260"/>
      </w:pPr>
      <w:r>
        <w:rPr>
          <w:b/>
          <w:bCs/>
          <w:color w:val="C0392B"/>
          <w:sz w:val="28"/>
          <w:szCs w:val="28"/>
        </w:rPr>
        <w:t xml:space="preserve">5.  </w:t>
      </w:r>
      <w:r>
        <w:rPr>
          <w:b/>
          <w:bCs/>
          <w:color w:val="2C3E50"/>
          <w:sz w:val="26"/>
          <w:szCs w:val="26"/>
        </w:rPr>
        <w:t xml:space="preserve">Education and Policy Interventions</w:t>
      </w:r>
    </w:p>
    <w:p>
      <w:pPr>
        <w:spacing w:after="40" w:before="100"/>
      </w:pPr>
      <w:r>
        <w:rPr>
          <w:b/>
          <w:bCs/>
          <w:color w:val="2C3E50"/>
          <w:sz w:val="20"/>
          <w:szCs w:val="20"/>
        </w:rPr>
        <w:t xml:space="preserve">What it looks like</w:t>
      </w:r>
    </w:p>
    <w:p>
      <w:pPr>
        <w:spacing w:after="100"/>
      </w:pPr>
      <w:r>
        <w:rPr>
          <w:sz w:val="21"/>
          <w:szCs w:val="21"/>
        </w:rPr>
        <w:t xml:space="preserve">Randomly assign students, classrooms, or schools to an educational intervention (new curriculum, tutoring program, policy change) vs. business-as-usual, typically stratified by school or district.</w:t>
      </w:r>
    </w:p>
    <w:p>
      <w:pPr>
        <w:spacing w:after="40" w:before="100"/>
      </w:pPr>
      <w:r>
        <w:rPr>
          <w:b/>
          <w:bCs/>
          <w:color w:val="2C3E50"/>
          <w:sz w:val="20"/>
          <w:szCs w:val="20"/>
        </w:rPr>
        <w:t xml:space="preserve">Relevant chapters</w:t>
      </w:r>
    </w:p>
    <w:p>
      <w:pPr>
        <w:spacing w:after="100"/>
      </w:pPr>
      <w:r>
        <w:rPr>
          <w:sz w:val="21"/>
          <w:szCs w:val="21"/>
        </w:rPr>
        <w:t xml:space="preserve">Ch. 5 (SRE by school/district — the standard design in education RCTs), Ch. 7 (Children's Television Workshop example is a matched-pairs case study in the source text), Ch. 9 (super-population framing for generalizing results to future cohorts or other schools).</w:t>
      </w:r>
    </w:p>
    <w:p>
      <w:pPr>
        <w:spacing w:after="40" w:before="100"/>
      </w:pPr>
      <w:r>
        <w:rPr>
          <w:b/>
          <w:bCs/>
          <w:color w:val="2C3E50"/>
          <w:sz w:val="20"/>
          <w:szCs w:val="20"/>
        </w:rPr>
        <w:t xml:space="preserve">Why the theory fits</w:t>
      </w:r>
    </w:p>
    <w:p>
      <w:pPr>
        <w:spacing w:after="100"/>
      </w:pPr>
      <w:r>
        <w:rPr>
          <w:sz w:val="21"/>
          <w:szCs w:val="21"/>
        </w:rPr>
        <w:t xml:space="preserve">Education interventions almost always face nested/clustered structure (students within classrooms within schools) that maps naturally onto stratification, and policymakers usually care about external validity — whether results generalize to other schools — making the Chapter 9 bridge directly relevant.</w:t>
      </w:r>
    </w:p>
    <w:p>
      <w:pPr>
        <w:pBdr>
          <w:bottom w:val="single" w:color="CCCCCC" w:sz="6" w:space="1"/>
        </w:pBdr>
        <w:spacing w:after="240" w:before="160"/>
      </w:pPr>
    </w:p>
    <w:p>
      <w:pPr>
        <w:spacing w:after="100" w:before="260"/>
      </w:pPr>
      <w:r>
        <w:rPr>
          <w:b/>
          <w:bCs/>
          <w:color w:val="7F8C8D"/>
          <w:sz w:val="28"/>
          <w:szCs w:val="28"/>
        </w:rPr>
        <w:t xml:space="preserve">6.  </w:t>
      </w:r>
      <w:r>
        <w:rPr>
          <w:b/>
          <w:bCs/>
          <w:color w:val="2C3E50"/>
          <w:sz w:val="26"/>
          <w:szCs w:val="26"/>
        </w:rPr>
        <w:t xml:space="preserve">Public Health and Behavioral Interventions</w:t>
      </w:r>
    </w:p>
    <w:p>
      <w:pPr>
        <w:spacing w:after="40" w:before="100"/>
      </w:pPr>
      <w:r>
        <w:rPr>
          <w:b/>
          <w:bCs/>
          <w:color w:val="2C3E50"/>
          <w:sz w:val="20"/>
          <w:szCs w:val="20"/>
        </w:rPr>
        <w:t xml:space="preserve">What it looks like</w:t>
      </w:r>
    </w:p>
    <w:p>
      <w:pPr>
        <w:spacing w:after="100"/>
      </w:pPr>
      <w:r>
        <w:rPr>
          <w:sz w:val="21"/>
          <w:szCs w:val="21"/>
        </w:rPr>
        <w:t xml:space="preserve">Randomly assign individuals or communities to a public-health intervention (vaccination outreach, nutrition program, behavioral nudge) vs. control, often at a cluster level (village, clinic).</w:t>
      </w:r>
    </w:p>
    <w:p>
      <w:pPr>
        <w:spacing w:after="40" w:before="100"/>
      </w:pPr>
      <w:r>
        <w:rPr>
          <w:b/>
          <w:bCs/>
          <w:color w:val="2C3E50"/>
          <w:sz w:val="20"/>
          <w:szCs w:val="20"/>
        </w:rPr>
        <w:t xml:space="preserve">Relevant chapters</w:t>
      </w:r>
    </w:p>
    <w:p>
      <w:pPr>
        <w:spacing w:after="100"/>
      </w:pPr>
      <w:r>
        <w:rPr>
          <w:sz w:val="21"/>
          <w:szCs w:val="21"/>
        </w:rPr>
        <w:t xml:space="preserve">Ch. 5 (cluster/stratified designs), Ch. 6 (covariate adjustment for baseline health/demographic measures), Ch. 9 (super-population inference for public-health policy generalization).</w:t>
      </w:r>
    </w:p>
    <w:p>
      <w:pPr>
        <w:spacing w:after="40" w:before="100"/>
      </w:pPr>
      <w:r>
        <w:rPr>
          <w:b/>
          <w:bCs/>
          <w:color w:val="2C3E50"/>
          <w:sz w:val="20"/>
          <w:szCs w:val="20"/>
        </w:rPr>
        <w:t xml:space="preserve">Why the theory fits</w:t>
      </w:r>
    </w:p>
    <w:p>
      <w:pPr>
        <w:spacing w:after="100"/>
      </w:pPr>
      <w:r>
        <w:rPr>
          <w:sz w:val="21"/>
          <w:szCs w:val="21"/>
        </w:rPr>
        <w:t xml:space="preserve">Cluster-randomized public-health trials are a direct extension of the SRE machinery, and policy decisions built on these trials require the external-validity reasoning of Chapter 9 to justify scaling a pilot program to a broader population.</w:t>
      </w:r>
    </w:p>
    <w:p>
      <w:pPr>
        <w:pBdr>
          <w:bottom w:val="single" w:color="CCCCCC" w:sz="6" w:space="1"/>
        </w:pBdr>
        <w:spacing w:after="240" w:before="160"/>
      </w:pPr>
    </w:p>
    <w:p>
      <w:pPr>
        <w:spacing w:after="100" w:before="260"/>
      </w:pPr>
      <w:r>
        <w:rPr>
          <w:b/>
          <w:bCs/>
          <w:color w:val="27AE60"/>
          <w:sz w:val="28"/>
          <w:szCs w:val="28"/>
        </w:rPr>
        <w:t xml:space="preserve">7.  </w:t>
      </w:r>
      <w:r>
        <w:rPr>
          <w:b/>
          <w:bCs/>
          <w:color w:val="2C3E50"/>
          <w:sz w:val="26"/>
          <w:szCs w:val="26"/>
        </w:rPr>
        <w:t xml:space="preserve">UX Research and Product Feature Rollouts</w:t>
      </w:r>
    </w:p>
    <w:p>
      <w:pPr>
        <w:spacing w:after="40" w:before="100"/>
      </w:pPr>
      <w:r>
        <w:rPr>
          <w:b/>
          <w:bCs/>
          <w:color w:val="2C3E50"/>
          <w:sz w:val="20"/>
          <w:szCs w:val="20"/>
        </w:rPr>
        <w:t xml:space="preserve">What it looks like</w:t>
      </w:r>
    </w:p>
    <w:p>
      <w:pPr>
        <w:spacing w:after="100"/>
      </w:pPr>
      <w:r>
        <w:rPr>
          <w:sz w:val="21"/>
          <w:szCs w:val="21"/>
        </w:rPr>
        <w:t xml:space="preserve">Randomly assign a small group of users to a new feature before a full rollout, using an exact test to detect any effect and a studentized statistic to report significance responsibly given the strict practical stakes of a rollout decision.</w:t>
      </w:r>
    </w:p>
    <w:p>
      <w:pPr>
        <w:spacing w:after="40" w:before="100"/>
      </w:pPr>
      <w:r>
        <w:rPr>
          <w:b/>
          <w:bCs/>
          <w:color w:val="2C3E50"/>
          <w:sz w:val="20"/>
          <w:szCs w:val="20"/>
        </w:rPr>
        <w:t xml:space="preserve">Relevant chapters</w:t>
      </w:r>
    </w:p>
    <w:p>
      <w:pPr>
        <w:spacing w:after="100"/>
      </w:pPr>
      <w:r>
        <w:rPr>
          <w:sz w:val="21"/>
          <w:szCs w:val="21"/>
        </w:rPr>
        <w:t xml:space="preserve">Ch. 3 (FRT for small pilot samples where normal approximations break down), Ch. 8 (studentized FRT for a p-value that behaves well whether or not effects are homogeneous across the user base).</w:t>
      </w:r>
    </w:p>
    <w:p>
      <w:pPr>
        <w:spacing w:after="40" w:before="100"/>
      </w:pPr>
      <w:r>
        <w:rPr>
          <w:b/>
          <w:bCs/>
          <w:color w:val="2C3E50"/>
          <w:sz w:val="20"/>
          <w:szCs w:val="20"/>
        </w:rPr>
        <w:t xml:space="preserve">Why the theory fits</w:t>
      </w:r>
    </w:p>
    <w:p>
      <w:pPr>
        <w:spacing w:after="100"/>
      </w:pPr>
      <w:r>
        <w:rPr>
          <w:sz w:val="21"/>
          <w:szCs w:val="21"/>
        </w:rPr>
        <w:t xml:space="preserve">Feature rollouts are often decided from modest pilot samples with highly non-normal, skewed engagement metrics — exactly the setting where the FRT's finite-sample validity (as opposed to asymptotic normal-theory tests) offers a real advantage over a naive t-test.</w:t>
      </w:r>
    </w:p>
    <w:p>
      <w:pPr>
        <w:pBdr>
          <w:bottom w:val="single" w:color="CCCCCC" w:sz="6" w:space="1"/>
        </w:pBdr>
        <w:spacing w:after="240" w:before="160"/>
      </w:pPr>
    </w:p>
    <w:p>
      <w:pPr>
        <w:spacing w:after="100" w:before="260"/>
      </w:pPr>
      <w:r>
        <w:rPr>
          <w:b/>
          <w:bCs/>
          <w:color w:val="2C3E50"/>
          <w:sz w:val="28"/>
          <w:szCs w:val="28"/>
        </w:rPr>
        <w:t xml:space="preserve">8.  </w:t>
      </w:r>
      <w:r>
        <w:rPr>
          <w:b/>
          <w:bCs/>
          <w:color w:val="2C3E50"/>
          <w:sz w:val="26"/>
          <w:szCs w:val="26"/>
        </w:rPr>
        <w:t xml:space="preserve">Economics and Labor-Market Field Experiments</w:t>
      </w:r>
    </w:p>
    <w:p>
      <w:pPr>
        <w:spacing w:after="40" w:before="100"/>
      </w:pPr>
      <w:r>
        <w:rPr>
          <w:b/>
          <w:bCs/>
          <w:color w:val="2C3E50"/>
          <w:sz w:val="20"/>
          <w:szCs w:val="20"/>
        </w:rPr>
        <w:t xml:space="preserve">What it looks like</w:t>
      </w:r>
    </w:p>
    <w:p>
      <w:pPr>
        <w:spacing w:after="100"/>
      </w:pPr>
      <w:r>
        <w:rPr>
          <w:sz w:val="21"/>
          <w:szCs w:val="21"/>
        </w:rPr>
        <w:t xml:space="preserve">Randomly assign job-training, cash-transfer, or employment-support programs to eligible individuals, with covariate-adjusted analysis of labor-market outcomes (the LaLonde experimental data used as a running example in the source text is a canonical instance).</w:t>
      </w:r>
    </w:p>
    <w:p>
      <w:pPr>
        <w:spacing w:after="40" w:before="100"/>
      </w:pPr>
      <w:r>
        <w:rPr>
          <w:b/>
          <w:bCs/>
          <w:color w:val="2C3E50"/>
          <w:sz w:val="20"/>
          <w:szCs w:val="20"/>
        </w:rPr>
        <w:t xml:space="preserve">Relevant chapters</w:t>
      </w:r>
    </w:p>
    <w:p>
      <w:pPr>
        <w:spacing w:after="100"/>
      </w:pPr>
      <w:r>
        <w:rPr>
          <w:sz w:val="21"/>
          <w:szCs w:val="21"/>
        </w:rPr>
        <w:t xml:space="preserve">Ch. 3 (the LaLonde case study, Section 3.4), Ch. 6 (covariate-adjusted FRT and regression adjustment with observed demographic/earnings history), Ch. 9 (bridge to the observational-study comparison that the LaLonde data is also famous for).</w:t>
      </w:r>
    </w:p>
    <w:p>
      <w:pPr>
        <w:spacing w:after="40" w:before="100"/>
      </w:pPr>
      <w:r>
        <w:rPr>
          <w:b/>
          <w:bCs/>
          <w:color w:val="2C3E50"/>
          <w:sz w:val="20"/>
          <w:szCs w:val="20"/>
        </w:rPr>
        <w:t xml:space="preserve">Why the theory fits</w:t>
      </w:r>
    </w:p>
    <w:p>
      <w:pPr>
        <w:spacing w:after="100"/>
      </w:pPr>
      <w:r>
        <w:rPr>
          <w:sz w:val="21"/>
          <w:szCs w:val="21"/>
        </w:rPr>
        <w:t xml:space="preserve">Labor-economics field experiments are the textbook's own running example; the combination of exact FRTs, covariate-adjusted regression, and the finite-vs-super-population distinction is directly built around this literature.</w:t>
      </w:r>
    </w:p>
    <w:p>
      <w:pPr>
        <w:pBdr>
          <w:bottom w:val="single" w:color="CCCCCC" w:sz="6" w:space="1"/>
        </w:pBdr>
        <w:spacing w:after="240" w:before="160"/>
      </w:pPr>
    </w:p>
    <w:p>
      <w:pPr>
        <w:spacing w:after="100" w:before="260"/>
      </w:pPr>
      <w:r>
        <w:rPr>
          <w:b/>
          <w:bCs/>
          <w:color w:val="E67E22"/>
          <w:sz w:val="28"/>
          <w:szCs w:val="28"/>
        </w:rPr>
        <w:t xml:space="preserve">9.  </w:t>
      </w:r>
      <w:r>
        <w:rPr>
          <w:b/>
          <w:bCs/>
          <w:color w:val="2C3E50"/>
          <w:sz w:val="26"/>
          <w:szCs w:val="26"/>
        </w:rPr>
        <w:t xml:space="preserve">Survey Experiments and Behavioral Economics Lab Studies</w:t>
      </w:r>
    </w:p>
    <w:p>
      <w:pPr>
        <w:spacing w:after="40" w:before="100"/>
      </w:pPr>
      <w:r>
        <w:rPr>
          <w:b/>
          <w:bCs/>
          <w:color w:val="2C3E50"/>
          <w:sz w:val="20"/>
          <w:szCs w:val="20"/>
        </w:rPr>
        <w:t xml:space="preserve">What it looks like</w:t>
      </w:r>
    </w:p>
    <w:p>
      <w:pPr>
        <w:spacing w:after="100"/>
      </w:pPr>
      <w:r>
        <w:rPr>
          <w:sz w:val="21"/>
          <w:szCs w:val="21"/>
        </w:rPr>
        <w:t xml:space="preserve">Randomly assign survey respondents or lab participants to different framings, incentive structures, or informational treatments, typically drawing a sample intended to represent a broader population of interest.</w:t>
      </w:r>
    </w:p>
    <w:p>
      <w:pPr>
        <w:spacing w:after="40" w:before="100"/>
      </w:pPr>
      <w:r>
        <w:rPr>
          <w:b/>
          <w:bCs/>
          <w:color w:val="2C3E50"/>
          <w:sz w:val="20"/>
          <w:szCs w:val="20"/>
        </w:rPr>
        <w:t xml:space="preserve">Relevant chapters</w:t>
      </w:r>
    </w:p>
    <w:p>
      <w:pPr>
        <w:spacing w:after="100"/>
      </w:pPr>
      <w:r>
        <w:rPr>
          <w:sz w:val="21"/>
          <w:szCs w:val="21"/>
        </w:rPr>
        <w:t xml:space="preserve">Ch. 9 (super-population framework is the natural fit, since survey/lab samples are explicitly meant to generalize), Ch. 6 (regression adjustment using respondent demographics collected pre-treatment).</w:t>
      </w:r>
    </w:p>
    <w:p>
      <w:pPr>
        <w:spacing w:after="40" w:before="100"/>
      </w:pPr>
      <w:r>
        <w:rPr>
          <w:b/>
          <w:bCs/>
          <w:color w:val="2C3E50"/>
          <w:sz w:val="20"/>
          <w:szCs w:val="20"/>
        </w:rPr>
        <w:t xml:space="preserve">Why the theory fits</w:t>
      </w:r>
    </w:p>
    <w:p>
      <w:pPr>
        <w:spacing w:after="100"/>
      </w:pPr>
      <w:r>
        <w:rPr>
          <w:sz w:val="21"/>
          <w:szCs w:val="21"/>
        </w:rPr>
        <w:t xml:space="preserve">Unlike a single fixed finite population of business interest, survey and lab experiments are almost always designed with generalization to a target population in mind, making the IID super-population assumptions of Chapter 9 the natural analytical lens from the start.</w:t>
      </w:r>
    </w:p>
    <w:p>
      <w:pPr>
        <w:pBdr>
          <w:bottom w:val="single" w:color="CCCCCC" w:sz="6" w:space="1"/>
        </w:pBdr>
        <w:spacing w:after="240" w:before="160"/>
      </w:pPr>
    </w:p>
    <w:p>
      <w:pPr>
        <w:spacing w:after="100" w:before="260"/>
      </w:pPr>
      <w:r>
        <w:rPr>
          <w:b/>
          <w:bCs/>
          <w:color w:val="1ABC9C"/>
          <w:sz w:val="28"/>
          <w:szCs w:val="28"/>
        </w:rPr>
        <w:t xml:space="preserve">10.  </w:t>
      </w:r>
      <w:r>
        <w:rPr>
          <w:b/>
          <w:bCs/>
          <w:color w:val="2C3E50"/>
          <w:sz w:val="26"/>
          <w:szCs w:val="26"/>
        </w:rPr>
        <w:t xml:space="preserve">Multi-Site Rollouts and Program Replication Studies</w:t>
      </w:r>
    </w:p>
    <w:p>
      <w:pPr>
        <w:spacing w:after="40" w:before="100"/>
      </w:pPr>
      <w:r>
        <w:rPr>
          <w:b/>
          <w:bCs/>
          <w:color w:val="2C3E50"/>
          <w:sz w:val="20"/>
          <w:szCs w:val="20"/>
        </w:rPr>
        <w:t xml:space="preserve">What it looks like</w:t>
      </w:r>
    </w:p>
    <w:p>
      <w:pPr>
        <w:spacing w:after="100"/>
      </w:pPr>
      <w:r>
        <w:rPr>
          <w:sz w:val="21"/>
          <w:szCs w:val="21"/>
        </w:rPr>
        <w:t xml:space="preserve">Run the same experimental design across multiple independent sites (stores, hospitals, offices, regions) to both estimate the average effect and assess how much it varies across sites, then combine results to decide on broader scale-up.</w:t>
      </w:r>
    </w:p>
    <w:p>
      <w:pPr>
        <w:spacing w:after="40" w:before="100"/>
      </w:pPr>
      <w:r>
        <w:rPr>
          <w:b/>
          <w:bCs/>
          <w:color w:val="2C3E50"/>
          <w:sz w:val="20"/>
          <w:szCs w:val="20"/>
        </w:rPr>
        <w:t xml:space="preserve">Relevant chapters</w:t>
      </w:r>
    </w:p>
    <w:p>
      <w:pPr>
        <w:spacing w:after="100"/>
      </w:pPr>
      <w:r>
        <w:rPr>
          <w:sz w:val="21"/>
          <w:szCs w:val="21"/>
        </w:rPr>
        <w:t xml:space="preserve">Ch. 5 (each site as a stratum, or the whole multi-site design as an SRE), Ch. 9 (bridging finite-site results to a super-population claim about future sites), Ch. 8 (unified Fisherian/Neymanian reporting for each site plus a pooled analysis).</w:t>
      </w:r>
    </w:p>
    <w:p>
      <w:pPr>
        <w:spacing w:after="40" w:before="100"/>
      </w:pPr>
      <w:r>
        <w:rPr>
          <w:b/>
          <w:bCs/>
          <w:color w:val="2C3E50"/>
          <w:sz w:val="20"/>
          <w:szCs w:val="20"/>
        </w:rPr>
        <w:t xml:space="preserve">Why the theory fits</w:t>
      </w:r>
    </w:p>
    <w:p>
      <w:pPr>
        <w:spacing w:after="100"/>
      </w:pPr>
      <w:r>
        <w:rPr>
          <w:sz w:val="21"/>
          <w:szCs w:val="21"/>
        </w:rPr>
        <w:t xml:space="preserve">Scale-up decisions are exactly the internal-vs-external-validity question Chapter 9 formalizes: results from the sites you ran are only directly informative about those sites; treating them as a sample from a super-population of possible future sites is what licenses a broader rollout decision, and the SRE machinery gives a principled way to combine site-level results.</w:t>
      </w:r>
    </w:p>
    <w:p>
      <w:pPr>
        <w:spacing w:before="200"/>
      </w:pPr>
    </w:p>
    <w:p>
      <w:pPr>
        <w:spacing w:after="200"/>
      </w:pPr>
      <w:r>
        <w:rPr>
          <w:i/>
          <w:iCs/>
          <w:color w:val="666666"/>
          <w:sz w:val="20"/>
          <w:szCs w:val="20"/>
        </w:rPr>
        <w:t xml:space="preserve">Companion documents: Applicability Checklist (.docx), Key-Takeaways Reusable Template (.docx), Chapter Mindmap (.png), and the Exercise-Solutions Jupyter Notebook (.ipynb).</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2026-08-19T10:29:51.966Z</dcterms:created>
  <dcterms:modified xsi:type="dcterms:W3CDTF">2026-08-19T10:29:51.966Z</dcterms:modified>
</cp:coreProperties>
</file>

<file path=docProps/custom.xml><?xml version="1.0" encoding="utf-8"?>
<Properties xmlns="http://schemas.openxmlformats.org/officeDocument/2006/custom-properties" xmlns:vt="http://schemas.openxmlformats.org/officeDocument/2006/docPropsVTypes"/>
</file>