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Strategy guide — when to reuse TaxCreate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18"/>
          <w:szCs w:val="18"/>
        </w:rPr>
        <w:t xml:space="preserve">Pair with TaxCreate_Reusable_Template.ipynb. Sibling of LaptopPrice.</w:t>
      </w:r>
    </w:p>
    <w:p>
      <w:pPr>
        <w:pStyle w:val="Heading1"/>
        <w:spacing w:after="7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When this pattern is a good fit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The target is a bill / assessment / withholding amount created from a form.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Predictors arrive as currency, percents, or count-words.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You need a pre-check in an afternoon, not a production tax engine.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Stakeholders will ask which line items move the bill.</w:t>
      </w:r>
    </w:p>
    <w:p>
      <w:pPr>
        <w:pStyle w:val="Heading1"/>
        <w:spacing w:after="7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When it is the wrong tool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The decision is audit / no-audit — use a classification pack (LogReg / KNN).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You must reproduce the official rate table to the cent — write the statute, do not forest it.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The extract is already a clean numeric warehouse table — skip the parser.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n is tiny or one office files every return — target encoding will memorize.</w:t>
      </w:r>
    </w:p>
    <w:p>
      <w:pPr>
        <w:pStyle w:val="Heading1"/>
        <w:spacing w:after="7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Recommended sequence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Audit expected-vs-actual dtypes. Print .unique() on every column you will astype.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Parse money and percents; engineer the composite (gross, taxable, invoice total).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Split, then encode. Baseline → linear → forest. Quote MAE in native currency.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Permutation importance before the readout. Simulation cell last.</w:t>
      </w:r>
    </w:p>
    <w:p>
      <w:pPr>
        <w:pStyle w:val="Heading1"/>
        <w:spacing w:after="7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Transfer checklist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Payroll withholding, VAT/GST invoices, property-tax bills, customs duties, estimated corporate payments.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Swap DATA_PATH, TARGET, MONEY_COLS in the template. Rewrite artifact strips.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Keep the four-audience split: expert / clerk / executive / filer.</w:t>
      </w:r>
    </w:p>
    <w:p>
      <w:pPr>
        <w:pStyle w:val="Heading1"/>
        <w:spacing w:after="70" w:before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Good-fit vs limitations on this card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Good fit: 920 rows, mixed filing status, visible state-rate and credit levers, a zero mass that is real rather than missing data. Limitation: synthetic statute, USD teaching units, 8 desks only, workpaper counts leak file size. Treat the $1,149 MAE as a teaching number, not a KPI for a revenue authority.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70" w:before="14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50" w:before="120"/>
      <w:outlineLvl w:val="1"/>
    </w:pPr>
    <w:rPr>
      <w:rFonts w:ascii="Arial" w:cs="Arial" w:eastAsia="Arial" w:hAnsi="Arial"/>
      <w:b/>
      <w:bCs/>
      <w:color w:val="1B6B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2026-09-03T02:44:54.289Z</dcterms:created>
  <dcterms:modified xsi:type="dcterms:W3CDTF">2026-09-03T02:44:54.289Z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