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E3A5F"/>
          <w:sz w:val="32"/>
          <w:szCs w:val="32"/>
        </w:rPr>
        <w:t xml:space="preserve">Project memo — four audiences</w:t>
      </w:r>
    </w:p>
    <w:p>
      <w:pPr>
        <w:spacing w:after="120" w:before="0"/>
      </w:pPr>
      <w:r>
        <w:rPr>
          <w:rFonts w:ascii="Arial" w:cs="Arial" w:eastAsia="Arial" w:hAnsi="Arial"/>
          <w:b w:val="false"/>
          <w:bCs w:val="false"/>
          <w:i w:val="false"/>
          <w:iCs w:val="false"/>
          <w:color w:val="475569"/>
          <w:sz w:val="18"/>
          <w:szCs w:val="18"/>
        </w:rPr>
        <w:t xml:space="preserve">WrapFS_Obes  ·  adapted from Jočys “What to Consider When Considering the Audience” and McMurrey “Audience and Situation Analysis”. Same result, four voices. Not medical advice.</w:t>
      </w:r>
    </w:p>
    <w:p>
      <w:pPr>
        <w:pStyle w:val="Heading1"/>
        <w:spacing w:after="80" w:before="160"/>
      </w:pPr>
      <w:r>
        <w:rPr>
          <w:rFonts w:ascii="Arial" w:cs="Arial" w:eastAsia="Arial" w:hAnsi="Arial"/>
          <w:b/>
          <w:bCs/>
          <w:color w:val="1E3A5F"/>
          <w:sz w:val="26"/>
          <w:szCs w:val="26"/>
        </w:rPr>
        <w:t xml:space="preserve">Situation</w:t>
      </w:r>
    </w:p>
    <w:p>
      <w:pPr>
        <w:spacing w:after="120" w:before="0"/>
      </w:pPr>
      <w:r>
        <w:rPr>
          <w:rFonts w:ascii="Arial" w:cs="Arial" w:eastAsia="Arial" w:hAnsi="Arial"/>
          <w:b w:val="false"/>
          <w:bCs w:val="false"/>
          <w:i w:val="false"/>
          <w:iCs w:val="false"/>
          <w:color w:val="111827"/>
          <w:sz w:val="20"/>
          <w:szCs w:val="20"/>
        </w:rPr>
        <w:t xml:space="preserve">Document: teaching analysis of a public obesity-habits survey. Readers will include methodologists, people who will rerun the notebook, people who decide whether to shorten a questionnaire, and curious non-specialists. Mixed audience → separate sections, not one dumbed-down page.</w:t>
      </w:r>
    </w:p>
    <w:p>
      <w:pPr>
        <w:pStyle w:val="Heading1"/>
        <w:spacing w:after="80" w:before="160"/>
      </w:pPr>
      <w:r>
        <w:rPr>
          <w:rFonts w:ascii="Arial" w:cs="Arial" w:eastAsia="Arial" w:hAnsi="Arial"/>
          <w:b/>
          <w:bCs/>
          <w:color w:val="1E3A5F"/>
          <w:sz w:val="26"/>
          <w:szCs w:val="26"/>
        </w:rPr>
        <w:t xml:space="preserve">1. Expert — epidemiologist / statistician</w:t>
      </w:r>
    </w:p>
    <w:p>
      <w:pPr>
        <w:spacing w:after="120" w:before="0"/>
      </w:pPr>
      <w:r>
        <w:rPr>
          <w:rFonts w:ascii="Arial" w:cs="Arial" w:eastAsia="Arial" w:hAnsi="Arial"/>
          <w:b w:val="false"/>
          <w:bCs w:val="false"/>
          <w:i w:val="false"/>
          <w:iCs w:val="false"/>
          <w:color w:val="111827"/>
          <w:sz w:val="20"/>
          <w:szCs w:val="20"/>
        </w:rPr>
        <w:t xml:space="preserve">Data literacy: high. Subject knowledge: high. Skip definitions of accuracy and BMI. Lead with design: binary NObeyesdad, n=2111, prevalence 0.46, unpenalized LR, resubstitution vs hold-out. Report that SFS k=9 reaches 0.784 versus 0.766 on 18 items, that the five-item core is stable across SFS/SBS/RFE, and that cv=0 is an optimistic search. Flag the transport simplex and the absence of sample weights. Do not over-claim causality. Waterfall-style coefficient plots are fine; a boxplot of Age by class is expected, not decorative.</w:t>
      </w:r>
    </w:p>
    <w:p>
      <w:pPr>
        <w:pStyle w:val="Heading1"/>
        <w:spacing w:after="80" w:before="160"/>
      </w:pPr>
      <w:r>
        <w:rPr>
          <w:rFonts w:ascii="Arial" w:cs="Arial" w:eastAsia="Arial" w:hAnsi="Arial"/>
          <w:b/>
          <w:bCs/>
          <w:color w:val="1E3A5F"/>
          <w:sz w:val="26"/>
          <w:szCs w:val="26"/>
        </w:rPr>
        <w:t xml:space="preserve">2. Technician — survey / data analyst</w:t>
      </w:r>
    </w:p>
    <w:p>
      <w:pPr>
        <w:spacing w:after="120" w:before="0"/>
      </w:pPr>
      <w:r>
        <w:rPr>
          <w:rFonts w:ascii="Arial" w:cs="Arial" w:eastAsia="Arial" w:hAnsi="Arial"/>
          <w:b w:val="false"/>
          <w:bCs w:val="false"/>
          <w:i w:val="false"/>
          <w:iCs w:val="false"/>
          <w:color w:val="111827"/>
          <w:sz w:val="20"/>
          <w:szCs w:val="20"/>
        </w:rPr>
        <w:t xml:space="preserve">Data literacy: high-practical. Subject knowledge: medium. They need the exact calls: LogisticRegression(max_iter=1000), SFS(..., k_features=9, forward=True, floating=False, scoring='accuracy', cv=0), StandardScaler before RFE, list comprehension on rfe.support_. Tell them where the files live (data/obesity.csv, WrapFS_Obes.py) and that sklearn SequentialFeatureSelector is the drop-in if mlxtend is missing. Give them the hold-out snippet so they do not ship a cv=0 card. Abbreviations (FAVC, CAEC, SCC) can stay if a codebook sits next to the notebook.</w:t>
      </w:r>
    </w:p>
    <w:p>
      <w:pPr>
        <w:pStyle w:val="Heading1"/>
        <w:spacing w:after="80" w:before="160"/>
      </w:pPr>
      <w:r>
        <w:rPr>
          <w:rFonts w:ascii="Arial" w:cs="Arial" w:eastAsia="Arial" w:hAnsi="Arial"/>
          <w:b/>
          <w:bCs/>
          <w:color w:val="1E3A5F"/>
          <w:sz w:val="26"/>
          <w:szCs w:val="26"/>
        </w:rPr>
        <w:t xml:space="preserve">3. Executive — public-health director</w:t>
      </w:r>
    </w:p>
    <w:p>
      <w:pPr>
        <w:spacing w:after="120" w:before="0"/>
      </w:pPr>
      <w:r>
        <w:rPr>
          <w:rFonts w:ascii="Arial" w:cs="Arial" w:eastAsia="Arial" w:hAnsi="Arial"/>
          <w:b w:val="false"/>
          <w:bCs w:val="false"/>
          <w:i w:val="false"/>
          <w:iCs w:val="false"/>
          <w:color w:val="111827"/>
          <w:sz w:val="20"/>
          <w:szCs w:val="20"/>
        </w:rPr>
        <w:t xml:space="preserve">Data literacy: mixed. Subject knowledge: programme, not estimators. One sentence first: a 9-question card matches or beats the 18-question card on this file (78% vs 77%). The questions that survive are family history, frequent high-calorie food, snacking, calorie tracking, and age. Do not say “SFS” in the first paragraph. Do say what you cannot do yet: this is not a clinic test; validate on a new sample before you cut questions from a live instrument. A bar of six accuracies is enough; skip ranking_ arrays.</w:t>
      </w:r>
    </w:p>
    <w:p>
      <w:pPr>
        <w:pStyle w:val="Heading1"/>
        <w:spacing w:after="80" w:before="160"/>
      </w:pPr>
      <w:r>
        <w:rPr>
          <w:rFonts w:ascii="Arial" w:cs="Arial" w:eastAsia="Arial" w:hAnsi="Arial"/>
          <w:b/>
          <w:bCs/>
          <w:color w:val="1E3A5F"/>
          <w:sz w:val="26"/>
          <w:szCs w:val="26"/>
        </w:rPr>
        <w:t xml:space="preserve">4. Nonspecialist</w:t>
      </w:r>
    </w:p>
    <w:p>
      <w:pPr>
        <w:spacing w:after="120" w:before="0"/>
      </w:pPr>
      <w:r>
        <w:rPr>
          <w:rFonts w:ascii="Arial" w:cs="Arial" w:eastAsia="Arial" w:hAnsi="Arial"/>
          <w:b w:val="false"/>
          <w:bCs w:val="false"/>
          <w:i w:val="false"/>
          <w:iCs w:val="false"/>
          <w:color w:val="111827"/>
          <w:sz w:val="20"/>
          <w:szCs w:val="20"/>
        </w:rPr>
        <w:t xml:space="preserve">Data literacy: low for models, fine for percentages. Subject knowledge: everyday. We asked 2,111 people about food and movement. Using every answer we guessed obesity correctly 77 times out of 100. Using nine answers we guessed 78 times out of 100. The useful questions are mostly family history, high-calorie food, snacking, watching calories, and age. This is a class exercise, not a doctor. No boxplots, no “logistic”, no “wrapper”.</w:t>
      </w:r>
    </w:p>
    <w:p>
      <w:pPr>
        <w:pStyle w:val="Heading1"/>
        <w:spacing w:after="80" w:before="160"/>
      </w:pPr>
      <w:r>
        <w:rPr>
          <w:rFonts w:ascii="Arial" w:cs="Arial" w:eastAsia="Arial" w:hAnsi="Arial"/>
          <w:b/>
          <w:bCs/>
          <w:color w:val="1E3A5F"/>
          <w:sz w:val="26"/>
          <w:szCs w:val="26"/>
        </w:rPr>
        <w:t xml:space="preserve">Mixed-audience rule used in the notebooks</w:t>
      </w:r>
    </w:p>
    <w:p>
      <w:pPr>
        <w:spacing w:after="120" w:before="0"/>
      </w:pPr>
      <w:r>
        <w:rPr>
          <w:rFonts w:ascii="Arial" w:cs="Arial" w:eastAsia="Arial" w:hAnsi="Arial"/>
          <w:b w:val="false"/>
          <w:bCs w:val="false"/>
          <w:i w:val="false"/>
          <w:iCs w:val="false"/>
          <w:color w:val="111827"/>
          <w:sz w:val="20"/>
          <w:szCs w:val="20"/>
        </w:rPr>
        <w:t xml:space="preserve">Skeleton and solution keep technical headings for the expert/technician path and isolate the four notes in section 10 so an executive can jump there. Flowchart uses everyday verbs (load, fit, add, drop, scale, compare).</w:t>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75569"/>
        <w:sz w:val="16"/>
        <w:szCs w:val="16"/>
      </w:rPr>
      <w:t xml:space="preserve">WrapFS_Obes memo  ·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Arial" w:cs="Arial" w:eastAsia="Arial" w:hAnsi="Arial"/>
      <w:b/>
      <w:bCs/>
      <w:color w:val="1E3A5F"/>
      <w:sz w:val="26"/>
      <w:szCs w:val="26"/>
    </w:rPr>
  </w:style>
  <w:style w:type="paragraph" w:styleId="Heading2">
    <w:name w:val="Heading 2"/>
    <w:basedOn w:val="Normal"/>
    <w:next w:val="Normal"/>
    <w:qFormat/>
    <w:pPr>
      <w:spacing w:after="60" w:before="140"/>
      <w:outlineLvl w:val="1"/>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2026-09-01T03:14:25.970Z</dcterms:created>
  <dcterms:modified xsi:type="dcterms:W3CDTF">2026-09-01T03:14:25.970Z</dcterms:modified>
</cp:coreProperties>
</file>

<file path=docProps/custom.xml><?xml version="1.0" encoding="utf-8"?>
<Properties xmlns="http://schemas.openxmlformats.org/officeDocument/2006/custom-properties" xmlns:vt="http://schemas.openxmlformats.org/officeDocument/2006/docPropsVTypes"/>
</file>