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1B3A4B"/>
          <w:sz w:val="32"/>
        </w:rPr>
        <w:t>Project Memo — HousingCT_Py</w:t>
      </w:r>
    </w:p>
    <w:p>
      <w:pPr>
        <w:spacing w:after="80" w:before="0" w:line="259" w:lineRule="auto"/>
      </w:pPr>
      <w:r>
        <w:rPr>
          <w:rFonts w:ascii="Calibri" w:hAnsi="Calibri" w:eastAsia="Calibri"/>
          <w:b w:val="0"/>
          <w:color w:val="222222"/>
          <w:sz w:val="20"/>
        </w:rPr>
        <w:t>To: course staff / practice partners    From: HousingCT_Py desk    Re: how to talk about these three rent vectors</w:t>
      </w:r>
    </w:p>
    <w:p>
      <w:pPr>
        <w:spacing w:before="160" w:after="40"/>
      </w:pPr>
      <w:r>
        <w:rPr>
          <w:rFonts w:ascii="Calibri" w:hAnsi="Calibri" w:eastAsia="Calibri"/>
          <w:b/>
          <w:color w:val="1F6F8B"/>
          <w:sz w:val="24"/>
        </w:rPr>
        <w:t>Why a memo</w:t>
      </w:r>
    </w:p>
    <w:p>
      <w:pPr>
        <w:spacing w:after="80" w:before="0" w:line="259" w:lineRule="auto"/>
      </w:pPr>
      <w:r>
        <w:rPr>
          <w:rFonts w:ascii="Calibri" w:hAnsi="Calibri" w:eastAsia="Calibri"/>
          <w:b w:val="0"/>
          <w:color w:val="222222"/>
          <w:sz w:val="20"/>
        </w:rPr>
        <w:t>The attached audience PDFs split readers into experts, technicians, executives, and nonspecialists, and they warn that “consider the audience” is empty until you check data literacy and subject knowledge. Below is the same result written four ways. Use the table as a template when you reuse HousingCT_Py_Reusable_Template.ipynb on a new city.</w:t>
      </w:r>
    </w:p>
    <w:p>
      <w:pPr>
        <w:spacing w:before="160" w:after="40"/>
      </w:pPr>
      <w:r>
        <w:rPr>
          <w:rFonts w:ascii="Calibri" w:hAnsi="Calibri" w:eastAsia="Calibri"/>
          <w:b/>
          <w:color w:val="1F6F8B"/>
          <w:sz w:val="24"/>
        </w:rPr>
        <w:t>The result in one line</w:t>
      </w:r>
    </w:p>
    <w:p>
      <w:pPr>
        <w:spacing w:after="80" w:before="0" w:line="259" w:lineRule="auto"/>
      </w:pPr>
      <w:r>
        <w:rPr>
          <w:rFonts w:ascii="Calibri" w:hAnsi="Calibri" w:eastAsia="Calibri"/>
          <w:b w:val="0"/>
          <w:color w:val="222222"/>
          <w:sz w:val="20"/>
        </w:rPr>
        <w:t>On the raw StreetEasy extracts, listed rents rank Manhattan (mean $3,993 / median $3,800 / mode $3,500) above Brooklyn ($3,327 / $3,000 / $2,500) above Queens ($2,346 / $2,200 / $1,750). All three raw series are right-skewed. Brooklyn’s file is mixed-bedroom; a true 1-bed slice falls to mean $2,785 / median $2,800.</w:t>
      </w:r>
    </w:p>
    <w:p>
      <w:pPr>
        <w:spacing w:before="160" w:after="40"/>
      </w:pPr>
      <w:r>
        <w:rPr>
          <w:rFonts w:ascii="Calibri" w:hAnsi="Calibri" w:eastAsia="Calibri"/>
          <w:b/>
          <w:color w:val="1F6F8B"/>
          <w:sz w:val="24"/>
        </w:rPr>
        <w:t>Analyst / expert</w:t>
      </w:r>
    </w:p>
    <w:p>
      <w:pPr>
        <w:spacing w:after="80" w:before="0" w:line="259" w:lineRule="auto"/>
      </w:pPr>
      <w:r>
        <w:rPr>
          <w:rFonts w:ascii="Calibri" w:hAnsi="Calibri" w:eastAsia="Calibri"/>
          <w:b w:val="0"/>
          <w:color w:val="222222"/>
          <w:sz w:val="20"/>
        </w:rPr>
        <w:t>n = (1013, 1476, 232). Means 3327.40, 3993.48, 2346.25. Medians 3000, 3800, 2200. Modes 2500×26, 3500×56, 1750×11. Mean−median gaps +327, +193, +146 confirm a right tail. Brooklyn bedrooms.value_counts is not a point mass at 1.0 — do not treat that file as a 1-bed universe. Prefer the median as a location parameter; reserve the mean for additive summaries. Queens mode is estimated from 11 of 232 rows — report the count next to the value.</w:t>
      </w:r>
    </w:p>
    <w:p>
      <w:pPr>
        <w:spacing w:before="160" w:after="40"/>
      </w:pPr>
      <w:r>
        <w:rPr>
          <w:rFonts w:ascii="Calibri" w:hAnsi="Calibri" w:eastAsia="Calibri"/>
          <w:b/>
          <w:color w:val="1F6F8B"/>
          <w:sz w:val="24"/>
        </w:rPr>
        <w:t>Technician (broker ops / data puller)</w:t>
      </w:r>
    </w:p>
    <w:p>
      <w:pPr>
        <w:spacing w:after="80" w:before="0" w:line="259" w:lineRule="auto"/>
      </w:pPr>
      <w:r>
        <w:rPr>
          <w:rFonts w:ascii="Calibri" w:hAnsi="Calibri" w:eastAsia="Calibri"/>
          <w:b w:val="0"/>
          <w:color w:val="222222"/>
          <w:sz w:val="20"/>
        </w:rPr>
        <w:t>Read data/brooklyn-one-bed.csv, manhattan-one-bed.csv, queens-one-bed.csv. Column is rent. For a fair 1-bed card, filter Brooklyn with bedrooms==1 (340 rows). Manhattan and Queens are already all 1.0. Recompute with np.mean / np.median / stats.mode(..., keepdims=True). If SciPy is unavailable, x.value_counts().idxmax() is the mode. Refresh the pull before a client meeting; do not mix borough files into one average without a borough dummy.</w:t>
      </w:r>
    </w:p>
    <w:p>
      <w:pPr>
        <w:spacing w:before="160" w:after="40"/>
      </w:pPr>
      <w:r>
        <w:rPr>
          <w:rFonts w:ascii="Calibri" w:hAnsi="Calibri" w:eastAsia="Calibri"/>
          <w:b/>
          <w:color w:val="1F6F8B"/>
          <w:sz w:val="24"/>
        </w:rPr>
        <w:t>Executive</w:t>
      </w:r>
    </w:p>
    <w:p>
      <w:pPr>
        <w:spacing w:after="80" w:before="0" w:line="259" w:lineRule="auto"/>
      </w:pPr>
      <w:r>
        <w:rPr>
          <w:rFonts w:ascii="Calibri" w:hAnsi="Calibri" w:eastAsia="Calibri"/>
          <w:b w:val="0"/>
          <w:color w:val="222222"/>
          <w:sz w:val="20"/>
        </w:rPr>
        <w:t>A typical listed Manhattan 1-bed in this snapshot is about $3,800. Brooklyn’s listed median is $3,000 on the mixed file and $2,800 on true 1-beds. Queens sits near $2,200. Do not budget the average ($4,000 in Manhattan) as if it were typical — a short luxury tail inflates it. Queens is a small sample; treat it as directional. These are asking prices, not a rent roll.</w:t>
      </w:r>
    </w:p>
    <w:p>
      <w:pPr>
        <w:spacing w:before="160" w:after="40"/>
      </w:pPr>
      <w:r>
        <w:rPr>
          <w:rFonts w:ascii="Calibri" w:hAnsi="Calibri" w:eastAsia="Calibri"/>
          <w:b/>
          <w:color w:val="1F6F8B"/>
          <w:sz w:val="24"/>
        </w:rPr>
        <w:t>Nonspecialist</w:t>
      </w:r>
    </w:p>
    <w:p>
      <w:pPr>
        <w:spacing w:after="80" w:before="0" w:line="259" w:lineRule="auto"/>
      </w:pPr>
      <w:r>
        <w:rPr>
          <w:rFonts w:ascii="Calibri" w:hAnsi="Calibri" w:eastAsia="Calibri"/>
          <w:b w:val="0"/>
          <w:color w:val="222222"/>
          <w:sz w:val="20"/>
        </w:rPr>
        <w:t>We looked at apartments listed on StreetEasy. In Manhattan, half of the one-bedrooms were listed at $3,800 a month or less. Brooklyn listings in the same snapshot were lower, and Queens lower still (around $2,200). A few very expensive apartments pull the “average” up, which is why the middle value is the fairer picture of what most listings look like. Asking price is not the same as the lease you sign.</w:t>
      </w:r>
    </w:p>
    <w:p>
      <w:pPr>
        <w:spacing w:before="160" w:after="40"/>
      </w:pPr>
      <w:r>
        <w:rPr>
          <w:rFonts w:ascii="Calibri" w:hAnsi="Calibri" w:eastAsia="Calibri"/>
          <w:b/>
          <w:color w:val="1F6F8B"/>
          <w:sz w:val="24"/>
        </w:rPr>
        <w:t>Assumptions to keep in the appendix</w:t>
      </w:r>
    </w:p>
    <w:p>
      <w:pPr>
        <w:pStyle w:val="ListBullet"/>
      </w:pPr>
      <w:r>
        <w:rPr>
          <w:rFonts w:ascii="Calibri" w:hAnsi="Calibri" w:eastAsia="Calibri"/>
          <w:b w:val="0"/>
          <w:color w:val="222222"/>
          <w:sz w:val="20"/>
        </w:rPr>
        <w:t>Advertised ask ≠ executed lease.</w:t>
      </w:r>
    </w:p>
    <w:p>
      <w:pPr>
        <w:pStyle w:val="ListBullet"/>
      </w:pPr>
      <w:r>
        <w:rPr>
          <w:rFonts w:ascii="Calibri" w:hAnsi="Calibri" w:eastAsia="Calibri"/>
          <w:b w:val="0"/>
          <w:color w:val="222222"/>
          <w:sz w:val="20"/>
        </w:rPr>
        <w:t>StreetEasy coverage ≠ the full housing stock (rent-stabilized and informal units under-counted).</w:t>
      </w:r>
    </w:p>
    <w:p>
      <w:pPr>
        <w:pStyle w:val="ListBullet"/>
      </w:pPr>
      <w:r>
        <w:rPr>
          <w:rFonts w:ascii="Calibri" w:hAnsi="Calibri" w:eastAsia="Calibri"/>
          <w:b w:val="0"/>
          <w:color w:val="222222"/>
          <w:sz w:val="20"/>
        </w:rPr>
        <w:t>Cross-section, not inflation- or season-adjusted.</w:t>
      </w:r>
    </w:p>
    <w:p>
      <w:pPr>
        <w:pStyle w:val="ListBullet"/>
      </w:pPr>
      <w:r>
        <w:rPr>
          <w:rFonts w:ascii="Calibri" w:hAnsi="Calibri" w:eastAsia="Calibri"/>
          <w:b w:val="0"/>
          <w:color w:val="222222"/>
          <w:sz w:val="20"/>
        </w:rPr>
        <w:t>Different n across boroughs → different precision.</w:t>
      </w:r>
    </w:p>
    <w:p>
      <w:pPr>
        <w:pStyle w:val="ListBullet"/>
      </w:pPr>
      <w:r>
        <w:rPr>
          <w:rFonts w:ascii="Calibri" w:hAnsi="Calibri" w:eastAsia="Calibri"/>
          <w:b w:val="0"/>
          <w:color w:val="222222"/>
          <w:sz w:val="20"/>
        </w:rPr>
        <w:t>Not rental advice and not a valuation.</w:t>
      </w:r>
    </w:p>
    <w:sectPr w:rsidR="00FC693F" w:rsidRPr="0006063C" w:rsidSect="00034616">
      <w:footerReference w:type="default" r:id="rId9"/>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color w:val="555555"/>
        <w:sz w:val="14"/>
      </w:rPr>
      <w:t>HousingCT_Py project memo  •  four-audience rewrite  •  not rental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