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/>
          <w:b/>
          <w:color w:val="1B3A4B"/>
          <w:sz w:val="32"/>
        </w:rPr>
        <w:t>Strategy Guide — Central Tendency Comparison Projects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color w:val="222222"/>
          <w:sz w:val="20"/>
        </w:rPr>
        <w:t>When to clone HousingCT_Py_Reusable_Template.ipynb, and when not to.</w:t>
      </w:r>
    </w:p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Good fit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0"/>
        </w:rPr>
        <w:t>Two or more groups and one numeric outcome (rent, wage, wait time, claim size).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0"/>
        </w:rPr>
        <w:t>You need a teaching lab for mean vs median vs mode, not a full inferential stack.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0"/>
        </w:rPr>
        <w:t>The distribution is skewed and you want the student to see why the three measures disagree.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0"/>
        </w:rPr>
        <w:t>You must brief mixed audiences from the same table.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0"/>
        </w:rPr>
        <w:t>You suspect a filename / extract filter is wrong and want that catch in the lab.</w:t>
      </w:r>
    </w:p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Poor fit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0"/>
        </w:rPr>
        <w:t>You need a causal claim (“moving to Queens saves $X”). That is a different design.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0"/>
        </w:rPr>
        <w:t>The outcome is categorical (borough of choice, lease vs buy) — use mode + proportions, not this mean/median card.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0"/>
        </w:rPr>
        <w:t>You already have a model (hedonic rent regression). Start from London_Housing_Linear_Regression, not here.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0"/>
        </w:rPr>
        <w:t>n is tiny (&lt;15 per group) and every value is unique — the mode is noise.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0"/>
        </w:rPr>
        <w:t>You are pricing a single unit. This lab describes a distribution, it does not appraise an address.</w:t>
      </w:r>
    </w:p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Recommended build order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color w:val="222222"/>
          <w:sz w:val="20"/>
        </w:rPr>
        <w:t>Inspect → mean → median → mode → skew table → histogram overlay → list assumptions → alternate APIs → one subject-matter filter (here: bedrooms==1) → IQR / % above mean → two-knob simulation (n and outliers) → four-audience rewrite. Stop before t-tests unless the brief asks for them (see London_Housing_CI_Hypothesis).</w:t>
      </w:r>
    </w:p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Quality bar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color w:val="222222"/>
          <w:sz w:val="20"/>
        </w:rPr>
        <w:t>A finished clone states n next to every statistic, prints the mode count, shows the mean−median gap, names the extract source, and refuses to call advertised prices “what people pay.” If a filename disagrees with a column, the report says so in the first page.</w:t>
      </w:r>
    </w:p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Related projects in this library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color w:val="222222"/>
          <w:sz w:val="20"/>
        </w:rPr>
        <w:t>R twin: NYC_Housing_Central_Tendency_*. Crime twin: Crime_Severity_Central_Tendency_*. Next step on the same housing files: a simple hedonic (rent ~ sqft + amenities) rather than another average.</w:t>
      </w:r>
    </w:p>
    <w:sectPr w:rsidR="00FC693F" w:rsidRPr="0006063C" w:rsidSect="00034616">
      <w:footerReference w:type="default" r:id="rId9"/>
      <w:pgSz w:w="12240" w:h="15840"/>
      <w:pgMar w:top="737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b w:val="0"/>
        <w:color w:val="555555"/>
        <w:sz w:val="14"/>
      </w:rPr>
      <w:t>HousingCT_Py strategy guide  •  when this pattern fits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