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color w:val="222222"/>
          <w:sz w:val="20"/>
          <w:szCs w:val="20"/>
        </w:rPr>
        <w:t xml:space="preserve">Project Memo — Bank Log-Loss &amp; Cost</w:t>
      </w:r>
    </w:p>
    <w:p>
      <w:pPr>
        <w:spacing w:after="80" w:before="0"/>
      </w:pPr>
      <w:r>
        <w:rPr>
          <w:rFonts w:ascii="Arial" w:cs="Arial" w:eastAsia="Arial" w:hAnsi="Arial"/>
          <w:i/>
          <w:iCs/>
          <w:color w:val="555555"/>
          <w:sz w:val="18"/>
          <w:szCs w:val="18"/>
        </w:rPr>
        <w:t xml:space="preserve">To: Credit Risk / Model Validation / lab partners    Re: retail PD adaptation of C1_W3 Lab04–05    Name: Bank_LogLoss_Cost</w:t>
      </w:r>
    </w:p>
    <w:p>
      <w:pPr>
        <w:spacing w:after="80" w:before="0"/>
      </w:pPr>
      <w:r>
        <w:rPr>
          <w:rFonts w:ascii="Arial" w:cs="Arial" w:eastAsia="Arial" w:hAnsi="Arial"/>
          <w:color w:val="222222"/>
          <w:sz w:val="20"/>
          <w:szCs w:val="20"/>
        </w:rPr>
        <w:t xml:space="preserve">This packet scores frozen scorecards. It does not fit weights. For training + thresholds use Banking_Logistic_Regression. For f_w,b as a linear underwriting score use Banking_Model_Representation.</w:t>
      </w:r>
    </w:p>
    <w:p>
      <w:pPr>
        <w:pStyle w:val="Heading2"/>
        <w:spacing w:after="80" w:before="0"/>
      </w:pPr>
      <w:r>
        <w:rPr>
          <w:rFonts w:ascii="Arial" w:cs="Arial" w:eastAsia="Arial" w:hAnsi="Arial"/>
          <w:color w:val="222222"/>
          <w:sz w:val="20"/>
          <w:szCs w:val="20"/>
        </w:rPr>
        <w:t xml:space="preserve">Credit Risk / technician</w:t>
      </w:r>
    </w:p>
    <w:p>
      <w:pPr>
        <w:spacing w:after="80" w:before="0"/>
      </w:pPr>
      <w:r>
        <w:rPr>
          <w:rFonts w:ascii="Arial" w:cs="Arial" w:eastAsia="Arial" w:hAnsi="Arial"/>
          <w:color w:val="222222"/>
          <w:sz w:val="20"/>
          <w:szCs w:val="20"/>
        </w:rPr>
        <w:t xml:space="preserve">They can take z, sigmoid PD, compact BCE, the Lab05 check, and the clip policy. Tell them loop and vectorized J agree, MSE-on-PD is banned, and J ≠ ECL. Next conversation is ∇J on a vintage split.</w:t>
      </w:r>
    </w:p>
    <w:p>
      <w:pPr>
        <w:pStyle w:val="Heading2"/>
        <w:spacing w:after="80" w:before="0"/>
      </w:pPr>
      <w:r>
        <w:rPr>
          <w:rFonts w:ascii="Arial" w:cs="Arial" w:eastAsia="Arial" w:hAnsi="Arial"/>
          <w:color w:val="222222"/>
          <w:sz w:val="20"/>
          <w:szCs w:val="20"/>
        </w:rPr>
        <w:t xml:space="preserve">Risk Committee / executive</w:t>
      </w:r>
    </w:p>
    <w:p>
      <w:pPr>
        <w:spacing w:after="80" w:before="0"/>
      </w:pPr>
      <w:r>
        <w:rPr>
          <w:rFonts w:ascii="Arial" w:cs="Arial" w:eastAsia="Arial" w:hAnsi="Arial"/>
          <w:color w:val="222222"/>
          <w:sz w:val="20"/>
          <w:szCs w:val="20"/>
        </w:rPr>
        <w:t xml:space="preserve">Headline only: on the six-file sketch the tighter cut scores 0.37 and the looser cut scores 0.50. Confident wrong PDs are treated as large misses. Do not put the heatmap on page one. Ask for the same ranking on a full book plus an ECL appendix.</w:t>
      </w:r>
    </w:p>
    <w:p>
      <w:pPr>
        <w:pStyle w:val="Heading2"/>
        <w:spacing w:after="80" w:before="0"/>
      </w:pPr>
      <w:r>
        <w:rPr>
          <w:rFonts w:ascii="Arial" w:cs="Arial" w:eastAsia="Arial" w:hAnsi="Arial"/>
          <w:color w:val="222222"/>
          <w:sz w:val="20"/>
          <w:szCs w:val="20"/>
        </w:rPr>
        <w:t xml:space="preserve">Branch / non-specialist</w:t>
      </w:r>
    </w:p>
    <w:p>
      <w:pPr>
        <w:spacing w:after="80" w:before="0"/>
      </w:pPr>
      <w:r>
        <w:rPr>
          <w:rFonts w:ascii="Arial" w:cs="Arial" w:eastAsia="Arial" w:hAnsi="Arial"/>
          <w:color w:val="222222"/>
          <w:sz w:val="20"/>
          <w:szCs w:val="20"/>
        </w:rPr>
        <w:t xml:space="preserve">DTI story. Low DTI usually pays. We keep the rule that is less shocked when real customers pay or default. No logits, no convexity, no clipping lecture.</w:t>
      </w:r>
    </w:p>
    <w:p>
      <w:pPr>
        <w:pStyle w:val="Heading2"/>
        <w:spacing w:after="80" w:before="0"/>
      </w:pPr>
      <w:r>
        <w:rPr>
          <w:rFonts w:ascii="Arial" w:cs="Arial" w:eastAsia="Arial" w:hAnsi="Arial"/>
          <w:color w:val="222222"/>
          <w:sz w:val="20"/>
          <w:szCs w:val="20"/>
        </w:rPr>
        <w:t xml:space="preserve">Situation</w:t>
      </w:r>
    </w:p>
    <w:p>
      <w:pPr>
        <w:spacing w:after="80" w:before="0"/>
      </w:pPr>
      <w:r>
        <w:rPr>
          <w:rFonts w:ascii="Arial" w:cs="Arial" w:eastAsia="Arial" w:hAnsi="Arial"/>
          <w:color w:val="222222"/>
          <w:sz w:val="20"/>
          <w:szCs w:val="20"/>
        </w:rPr>
        <w:t xml:space="preserve">Internal teaching and validation packet. Mixed audience is the default, so the skeleton carries a cheat table and the zip carries the 1-page report for people who will not open a notebook.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B4F72"/>
      <w:sz w:val="32"/>
      <w:szCs w:val="32"/>
    </w:rPr>
  </w:style>
  <w:style w:type="paragraph" w:styleId="Heading2">
    <w:name w:val="Heading 2"/>
    <w:basedOn w:val="Normal"/>
    <w:next w:val="Normal"/>
    <w:qFormat/>
    <w:pPr>
      <w:spacing w:after="60" w:before="16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2026-08-26T22:02:22.175Z</dcterms:created>
  <dcterms:modified xsi:type="dcterms:W3CDTF">2026-08-26T22:02:22.175Z</dcterms:modified>
</cp:coreProperties>
</file>

<file path=docProps/custom.xml><?xml version="1.0" encoding="utf-8"?>
<Properties xmlns="http://schemas.openxmlformats.org/officeDocument/2006/custom-properties" xmlns:vt="http://schemas.openxmlformats.org/officeDocument/2006/docPropsVTypes"/>
</file>