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Bank Log-Loss &amp; Cost (Retail PD Scorecards)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C1_W3 Lab04–05 adapted to underwriting  ·  short name: Bank_LogLoss_Cost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Problem Statement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 regional bank must compare two frozen PD scorecards on the same retail files. Squared error on a sigmoid PD is not a soup bowl, so it is the wrong objective. The bank also must not confuse logistic loss (how surprised the PD is) with expected credit loss (PD × LGD × EAD). We need a book-level cost J that ranks scorecards the way Lab05 ranked b = −3 against b = −4.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1-D DTI book: show paid vs defaulted and why MSE on PD is the wrong surface.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Implement per-loan logistic loss (piecewise + compact) with clipped PD.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Average into J — loop (original lab) and vectorized alternate.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Reproduce Lab05 on six applications: S1 J≈0.367 beats S2 J≈0.504.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Practice book + ECL contrast + Monte-Carlo on book size and misfiled outcomes; audience notes for Credit Risk / Committee / branch.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Solution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 = −[y log PD + (1−y) log(1−PD)], J = mean(L). On the six-file sketch the tighter cut (util + DTI = 3) is cheaper than the looser cut (= 4). A coin-flip scorecard (PD = 0.5) always costs −log(0.5) ≈ 0.693. Dirty default flags raise J even when weights are frozen. Dollar ECL is reported beside J, never instead of J.</w:t>
      </w:r>
    </w:p>
    <w:p>
      <w:pPr>
        <w:spacing w:after="30"/>
        <w:jc w:val="center"/>
      </w:pPr>
      <w:r>
        <w:drawing>
          <wp:inline distT="0" distB="0" distL="0" distR="0">
            <wp:extent cx="21717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0"/>
          <w:szCs w:val="10"/>
        </w:rPr>
        <w:t xml:space="preserve">  </w:t>
      </w:r>
      <w:r>
        <w:drawing>
          <wp:inline distT="0" distB="0" distL="0" distR="0">
            <wp:extent cx="16002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Left: loss vs PD. Right: S1 vs S2 — cheaper J matches the better cut.</w:t>
      </w:r>
    </w:p>
    <w:p>
      <w:pPr>
        <w:spacing w:after="30"/>
        <w:jc w:val="center"/>
      </w:pPr>
      <w:r>
        <w:drawing>
          <wp:inline distT="0" distB="0" distL="0" distR="0">
            <wp:extent cx="23622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0"/>
          <w:szCs w:val="10"/>
        </w:rPr>
        <w:t xml:space="preserve">  </w:t>
      </w:r>
      <w:r>
        <w:drawing>
          <wp:inline distT="0" distB="0" distL="0" distR="0">
            <wp:extent cx="23622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Left: MSE-on-PD vs logistic J. Right: J settles with book size and rises with misfiled outcomes.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rFonts w:ascii="Arial" w:cs="Arial" w:eastAsia="Arial" w:hAnsi="Arial"/>
          <w:sz w:val="18"/>
          <w:szCs w:val="18"/>
        </w:rPr>
        <w:t xml:space="preserve">Train and rank PD models with logistic / BCE loss, not squared error.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rFonts w:ascii="Arial" w:cs="Arial" w:eastAsia="Arial" w:hAnsi="Arial"/>
          <w:sz w:val="18"/>
          <w:szCs w:val="18"/>
        </w:rPr>
        <w:t xml:space="preserve">J is mean surprise on the book. Lower J = scorecard better matches observed defaults.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rFonts w:ascii="Arial" w:cs="Arial" w:eastAsia="Arial" w:hAnsi="Arial"/>
          <w:sz w:val="18"/>
          <w:szCs w:val="18"/>
        </w:rPr>
        <w:t xml:space="preserve">Clip PD. One PD of 0 or 1 poisons a whole batch.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rFonts w:ascii="Arial" w:cs="Arial" w:eastAsia="Arial" w:hAnsi="Arial"/>
          <w:sz w:val="18"/>
          <w:szCs w:val="18"/>
        </w:rPr>
        <w:t xml:space="preserve">Do not call J a provision. Quote ECL = PD × LGD × EAD to finance.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Committee hears “0.37 vs 0.50”. Validation hears clip, convexity, and ∇J next.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0"/>
      <w:jc w:val="center"/>
    </w:pPr>
    <w:r>
      <w:rPr>
        <w:rFonts w:ascii="Arial" w:cs="Arial" w:eastAsia="Arial" w:hAnsi="Arial"/>
        <w:i/>
        <w:iCs/>
        <w:color w:val="888888"/>
        <w:sz w:val="13"/>
        <w:szCs w:val="13"/>
      </w:rPr>
      <w:t xml:space="preserve">J is a scoring rule, not a provision. Pair with Banking_Logistic_Regression to fit w,b.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Bank_LogLoss_Cost  ·  retail PD scorecards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50" w:before="1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90"/>
      <w:outlineLvl w:val="1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b60c61ebb8fb3edc0dc162f39118d92fafcda7.png"/><Relationship Id="rId10" Type="http://schemas.openxmlformats.org/officeDocument/2006/relationships/image" Target="media/3828f93029e26c2d42f7e097165517abdebad45f.png"/><Relationship Id="rId11" Type="http://schemas.openxmlformats.org/officeDocument/2006/relationships/image" Target="media/fdd93bf66c992bd14d393f127a1753888ff32ec5.png"/><Relationship Id="rId12" Type="http://schemas.openxmlformats.org/officeDocument/2006/relationships/image" Target="media/d15bff4f7afaebb5e8be768431bc0d723f9f55f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2026-08-26T22:02:21.551Z</dcterms:created>
  <dcterms:modified xsi:type="dcterms:W3CDTF">2026-08-26T22:02:21.551Z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