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color w:val="222222"/>
          <w:sz w:val="20"/>
          <w:szCs w:val="20"/>
        </w:rPr>
        <w:t xml:space="preserve">Project Memo — Logistic Loss &amp; Cost</w:t>
      </w:r>
    </w:p>
    <w:p>
      <w:pPr>
        <w:spacing w:after="80" w:before="0"/>
      </w:pPr>
      <w:r>
        <w:rPr>
          <w:rFonts w:ascii="Arial" w:cs="Arial" w:eastAsia="Arial" w:hAnsi="Arial"/>
          <w:i/>
          <w:iCs/>
          <w:color w:val="555555"/>
          <w:sz w:val="18"/>
          <w:szCs w:val="18"/>
        </w:rPr>
        <w:t xml:space="preserve">To: course staff / lab partners    From: extended-lab build    Re: audience-adapted write-up of C1_W3 Labs 04–05</w:t>
      </w:r>
    </w:p>
    <w:p>
      <w:pPr>
        <w:spacing w:after="80" w:before="0"/>
      </w:pPr>
      <w:r>
        <w:rPr>
          <w:rFonts w:ascii="Arial" w:cs="Arial" w:eastAsia="Arial" w:hAnsi="Arial"/>
          <w:color w:val="222222"/>
          <w:sz w:val="20"/>
          <w:szCs w:val="20"/>
        </w:rPr>
        <w:t xml:space="preserve">This memo follows the attached audience guides (data literacy, subject knowledge, expert / technician / executive / non-specialist) and the data-analysis report structure (headlines first, evidence in the body, machinery in an appendix).</w:t>
      </w:r>
    </w:p>
    <w:p>
      <w:pPr>
        <w:pStyle w:val="Heading2"/>
        <w:spacing w:after="80" w:before="0"/>
      </w:pPr>
      <w:r>
        <w:rPr>
          <w:rFonts w:ascii="Arial" w:cs="Arial" w:eastAsia="Arial" w:hAnsi="Arial"/>
          <w:color w:val="222222"/>
          <w:sz w:val="20"/>
          <w:szCs w:val="20"/>
        </w:rPr>
        <w:t xml:space="preserve">What we built</w:t>
      </w:r>
    </w:p>
    <w:p>
      <w:pPr>
        <w:spacing w:after="80" w:before="0"/>
      </w:pPr>
      <w:r>
        <w:rPr>
          <w:rFonts w:ascii="Arial" w:cs="Arial" w:eastAsia="Arial" w:hAnsi="Arial"/>
          <w:color w:val="222222"/>
          <w:sz w:val="20"/>
          <w:szCs w:val="20"/>
        </w:rPr>
        <w:t xml:space="preserve">An extended pair of notebooks around logistic loss and the average cost J(w,b). The skeleton is the practice path; the solution has loop + vectorized + np.where alternates, extra drills, a parameterised Monte-Carlo, and three audience paragraphs. Short GitHub name: Logistic_Loss_Cost.</w:t>
      </w:r>
    </w:p>
    <w:p>
      <w:pPr>
        <w:pStyle w:val="Heading2"/>
        <w:spacing w:after="80" w:before="0"/>
      </w:pPr>
      <w:r>
        <w:rPr>
          <w:rFonts w:ascii="Arial" w:cs="Arial" w:eastAsia="Arial" w:hAnsi="Arial"/>
          <w:color w:val="222222"/>
          <w:sz w:val="20"/>
          <w:szCs w:val="20"/>
        </w:rPr>
        <w:t xml:space="preserve">Primary collaborator (analyst / technician)</w:t>
      </w:r>
    </w:p>
    <w:p>
      <w:pPr>
        <w:spacing w:after="80" w:before="0"/>
      </w:pPr>
      <w:r>
        <w:rPr>
          <w:rFonts w:ascii="Arial" w:cs="Arial" w:eastAsia="Arial" w:hAnsi="Arial"/>
          <w:color w:val="222222"/>
          <w:sz w:val="20"/>
          <w:szCs w:val="20"/>
        </w:rPr>
        <w:t xml:space="preserve">They can read z, g(z), compact BCE, and the Lab05 check values. Tell them the loop and vectorized costs agree, that clipping is policy not decoration, and that squared error on a sigmoid is the wrong objective. Next conversation: gradients of J and a learning-rate sweep.</w:t>
      </w:r>
    </w:p>
    <w:p>
      <w:pPr>
        <w:pStyle w:val="Heading2"/>
        <w:spacing w:after="80" w:before="0"/>
      </w:pPr>
      <w:r>
        <w:rPr>
          <w:rFonts w:ascii="Arial" w:cs="Arial" w:eastAsia="Arial" w:hAnsi="Arial"/>
          <w:color w:val="222222"/>
          <w:sz w:val="20"/>
          <w:szCs w:val="20"/>
        </w:rPr>
        <w:t xml:space="preserve">Executive reader</w:t>
      </w:r>
    </w:p>
    <w:p>
      <w:pPr>
        <w:spacing w:after="80" w:before="0"/>
      </w:pPr>
      <w:r>
        <w:rPr>
          <w:rFonts w:ascii="Arial" w:cs="Arial" w:eastAsia="Arial" w:hAnsi="Arial"/>
          <w:color w:val="222222"/>
          <w:sz w:val="20"/>
          <w:szCs w:val="20"/>
        </w:rPr>
        <w:t xml:space="preserve">They skim the introduction and the two numbers. Headline: on the same six labelled cases the cut x0+x1=3 scores 0.37 and the cut x0+x1=4 scores 0.50. The scoring rule punishes confident mistakes, which is the behaviour we want before any admissions / credit / triage rollout. Do not put the heatmap in the first slide.</w:t>
      </w:r>
    </w:p>
    <w:p>
      <w:pPr>
        <w:pStyle w:val="Heading2"/>
        <w:spacing w:after="80" w:before="0"/>
      </w:pPr>
      <w:r>
        <w:rPr>
          <w:rFonts w:ascii="Arial" w:cs="Arial" w:eastAsia="Arial" w:hAnsi="Arial"/>
          <w:color w:val="222222"/>
          <w:sz w:val="20"/>
          <w:szCs w:val="20"/>
        </w:rPr>
        <w:t xml:space="preserve">Non-specialist reader</w:t>
      </w:r>
    </w:p>
    <w:p>
      <w:pPr>
        <w:spacing w:after="80" w:before="0"/>
      </w:pPr>
      <w:r>
        <w:rPr>
          <w:rFonts w:ascii="Arial" w:cs="Arial" w:eastAsia="Arial" w:hAnsi="Arial"/>
          <w:color w:val="222222"/>
          <w:sz w:val="20"/>
          <w:szCs w:val="20"/>
        </w:rPr>
        <w:t xml:space="preserve">Use the tumor-size story. Small usually benign, large usually not. We keep the rule that is less surprised when it is wrong. No mention of logits, convexity, or clipping.</w:t>
      </w:r>
    </w:p>
    <w:p>
      <w:pPr>
        <w:pStyle w:val="Heading2"/>
        <w:spacing w:after="80" w:before="0"/>
      </w:pPr>
      <w:r>
        <w:rPr>
          <w:rFonts w:ascii="Arial" w:cs="Arial" w:eastAsia="Arial" w:hAnsi="Arial"/>
          <w:color w:val="222222"/>
          <w:sz w:val="20"/>
          <w:szCs w:val="20"/>
        </w:rPr>
        <w:t xml:space="preserve">Technical supervisor (appendix test)</w:t>
      </w:r>
    </w:p>
    <w:p>
      <w:pPr>
        <w:spacing w:after="80" w:before="0"/>
      </w:pPr>
      <w:r>
        <w:rPr>
          <w:rFonts w:ascii="Arial" w:cs="Arial" w:eastAsia="Arial" w:hAnsi="Arial"/>
          <w:color w:val="222222"/>
          <w:sz w:val="20"/>
          <w:szCs w:val="20"/>
        </w:rPr>
        <w:t xml:space="preserve">Quality bar: Lab05 expected costs reproduce; clip endpoints are documented; a zero model costs −log(1/2); simulation knobs are named and defaulted; audience paragraphs do not leak formulas into the executive / non-specialist versions.</w:t>
      </w:r>
    </w:p>
    <w:p>
      <w:pPr>
        <w:pStyle w:val="Heading2"/>
        <w:spacing w:after="80" w:before="0"/>
      </w:pPr>
      <w:r>
        <w:rPr>
          <w:rFonts w:ascii="Arial" w:cs="Arial" w:eastAsia="Arial" w:hAnsi="Arial"/>
          <w:color w:val="222222"/>
          <w:sz w:val="20"/>
          <w:szCs w:val="20"/>
        </w:rPr>
        <w:t xml:space="preserve">Situation notes</w:t>
      </w:r>
    </w:p>
    <w:p>
      <w:pPr>
        <w:spacing w:after="80" w:before="0"/>
      </w:pPr>
      <w:r>
        <w:rPr>
          <w:rFonts w:ascii="Arial" w:cs="Arial" w:eastAsia="Arial" w:hAnsi="Arial"/>
          <w:color w:val="222222"/>
          <w:sz w:val="20"/>
          <w:szCs w:val="20"/>
        </w:rPr>
        <w:t xml:space="preserve">This is an internal teaching packet, not a journal article. Mixed audience is the default, so the skeleton carries a short cheat table and the zip carries the 1-page report for people who will never open a notebook.</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360" w:hanging="180"/>
      </w:pPr>
    </w:lvl>
  </w:abstractNum>
  <w:abstractNum w:abstractNumId="4" w15:restartNumberingAfterBreak="0">
    <w:multiLevelType w:val="hybridMultilevel"/>
    <w:lvl w:ilvl="0" w15:tentative="1">
      <w:start w:val="1"/>
      <w:numFmt w:val="bullet"/>
      <w:lvlText w:val="•"/>
      <w:lvlJc w:val="left"/>
      <w:pPr>
        <w:ind w:left="360" w:hanging="180"/>
      </w:pPr>
    </w:lvl>
  </w:abstractNum>
  <w:abstractNum w:abstractNumId="5" w15:restartNumberingAfterBreak="0">
    <w:multiLevelType w:val="hybridMultilevel"/>
    <w:lvl w:ilvl="0" w15:tentative="1">
      <w:start w:val="1"/>
      <w:numFmt w:val="bullet"/>
      <w:lvlText w:val="•"/>
      <w:lvlJc w:val="left"/>
      <w:pPr>
        <w:ind w:left="360" w:hanging="180"/>
      </w:pPr>
    </w:lvl>
  </w:abstractNum>
  <w:abstractNum w:abstractNumId="6"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color w:val="1B4F72"/>
      <w:sz w:val="32"/>
      <w:szCs w:val="32"/>
    </w:rPr>
  </w:style>
  <w:style w:type="paragraph" w:styleId="Heading2">
    <w:name w:val="Heading 2"/>
    <w:basedOn w:val="Normal"/>
    <w:next w:val="Normal"/>
    <w:qFormat/>
    <w:pPr>
      <w:spacing w:after="60" w:before="160"/>
      <w:outlineLvl w:val="1"/>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2026-08-26T21:49:32.341Z</dcterms:created>
  <dcterms:modified xsi:type="dcterms:W3CDTF">2026-08-26T21:49:32.341Z</dcterms:modified>
</cp:coreProperties>
</file>

<file path=docProps/custom.xml><?xml version="1.0" encoding="utf-8"?>
<Properties xmlns="http://schemas.openxmlformats.org/officeDocument/2006/custom-properties" xmlns:vt="http://schemas.openxmlformats.org/officeDocument/2006/docPropsVTypes"/>
</file>