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28"/>
          <w:szCs w:val="28"/>
        </w:rPr>
        <w:t xml:space="preserve">Restaurant Franchise Profits – Linear Regression</w:t>
      </w:r>
    </w:p>
    <w:p>
      <w:pPr>
        <w:spacing w:after="80"/>
      </w:pPr>
      <w:r>
        <w:rPr>
          <w:color w:val="555555"/>
          <w:sz w:val="18"/>
          <w:szCs w:val="18"/>
        </w:rPr>
        <w:t xml:space="preserve">1-Page Summary Report  |  Business Analytics / ML Foundations  |  Extended from Coursera C1_W2</w:t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19"/>
          <w:szCs w:val="19"/>
        </w:rPr>
        <w:t xml:space="preserve">A restaurant-franchise CEO must decide which new cities will generate higher monthly profits. Historical data (97 cities) link population size (in 10 000s) to average monthly profit (in $10 000s). Negative profits indicate losses. The goal is to fit a univariate linear model f(x) = w·x + b, learn optimal parameters via gradient descent, and produce concrete dollar forecasts for candidate cities of 35 000 and 70 000 inhabitants.</w:t>
      </w:r>
    </w:p>
    <w:p>
      <w:pPr>
        <w:pStyle w:val="Heading2"/>
        <w:spacing w:after="60" w:before="100"/>
      </w:pPr>
      <w:r>
        <w:rPr>
          <w:b/>
          <w:bCs/>
          <w:sz w:val="22"/>
          <w:szCs w:val="22"/>
        </w:rPr>
        <w:t xml:space="preserve">Solution Strategy</w:t>
      </w:r>
    </w:p>
    <w:p>
      <w:pPr>
        <w:spacing w:after="40"/>
      </w:pPr>
      <w:r>
        <w:rPr>
          <w:sz w:val="19"/>
          <w:szCs w:val="19"/>
        </w:rPr>
        <w:t xml:space="preserve">1. Load and visualise the classic population–profit data set.</w:t>
      </w:r>
    </w:p>
    <w:p>
      <w:pPr>
        <w:spacing w:after="40"/>
      </w:pPr>
      <w:r>
        <w:rPr>
          <w:sz w:val="19"/>
          <w:szCs w:val="19"/>
        </w:rPr>
        <w:t xml:space="preserve">2. Implement the mean-squared-error cost J(w,b) both with an explicit loop (pedagogical) and a fully vectorised NumPy version.</w:t>
      </w:r>
    </w:p>
    <w:p>
      <w:pPr>
        <w:spacing w:after="40"/>
      </w:pPr>
      <w:r>
        <w:rPr>
          <w:sz w:val="19"/>
          <w:szCs w:val="19"/>
        </w:rPr>
        <w:t xml:space="preserve">3. Derive and code the analytic gradients ∂J/∂w and ∂J/∂b.</w:t>
      </w:r>
    </w:p>
    <w:p>
      <w:pPr>
        <w:spacing w:after="40"/>
      </w:pPr>
      <w:r>
        <w:rPr>
          <w:sz w:val="19"/>
          <w:szCs w:val="19"/>
        </w:rPr>
        <w:t xml:space="preserve">4. Run batch gradient descent (α = 0.01, 1 500 iterations) from a zero initialisation.</w:t>
      </w:r>
    </w:p>
    <w:p>
      <w:pPr>
        <w:spacing w:after="40"/>
      </w:pPr>
      <w:r>
        <w:rPr>
          <w:sz w:val="19"/>
          <w:szCs w:val="19"/>
        </w:rPr>
        <w:t xml:space="preserve">5. Diagnose convergence with a cost-history plot; verify the fit against the closed-form solution.</w:t>
      </w:r>
    </w:p>
    <w:p>
      <w:pPr>
        <w:spacing w:after="80"/>
      </w:pPr>
      <w:r>
        <w:rPr>
          <w:sz w:val="19"/>
          <w:szCs w:val="19"/>
        </w:rPr>
        <w:t xml:space="preserve">6. Produce business predictions and a short hyper-parameter / noise simulation; prepare audience-specific narratives (CEO vs data scientist).</w:t>
      </w:r>
    </w:p>
    <w:p>
      <w:pPr>
        <w:pStyle w:val="Heading2"/>
        <w:spacing w:after="60" w:before="100"/>
      </w:pPr>
      <w:r>
        <w:rPr>
          <w:b/>
          <w:bCs/>
          <w:sz w:val="22"/>
          <w:szCs w:val="22"/>
        </w:rPr>
        <w:t xml:space="preserve">Solution</w:t>
      </w:r>
    </w:p>
    <w:p>
      <w:pPr>
        <w:spacing w:after="60"/>
      </w:pPr>
      <w:r>
        <w:rPr>
          <w:sz w:val="19"/>
          <w:szCs w:val="19"/>
        </w:rPr>
        <w:t xml:space="preserve">Gradient descent converges to w ≈ 1.166, b ≈ –3.630. The model predicts a monthly profit of approximately $4 520 for a city of 35 000 people and $45 342 for a city of 70 000 people. The cost falls monotonically from ~32 to ~4.48; R² of the final fit is high and residuals are well-behaved. Vectorised and loop implementations produce identical numeric results. A short simulation confirms that modest changes in learning rate still recover essentially the same parameters, while added noise increases residual variance as expected.</w:t>
      </w:r>
    </w:p>
    <w:p>
      <w:pPr>
        <w:spacing w:after="40" w:before="60"/>
      </w:pPr>
      <w:r>
        <w:rPr>
          <w:i/>
          <w:iCs/>
          <w:color w:val="444444"/>
          <w:sz w:val="17"/>
          <w:szCs w:val="17"/>
        </w:rPr>
        <w:t xml:space="preserve">Figure – Data scatter, fitted line + cost history, and workflow</w:t>
      </w:r>
    </w:p>
    <w:p>
      <w:pPr>
        <w:spacing w:after="4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fitted" descr="fitted line and cost" title="fit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Key Takeaways</w:t>
      </w:r>
    </w:p>
    <w:p>
      <w:pPr>
        <w:spacing w:after="40"/>
      </w:pPr>
      <w:r>
        <w:rPr>
          <w:sz w:val="19"/>
          <w:szCs w:val="19"/>
        </w:rPr>
        <w:t xml:space="preserve">• Univariate linear regression remains the simplest, most transparent response model for managerial forecasting when the relationship is approximately linear.</w:t>
      </w:r>
    </w:p>
    <w:p>
      <w:pPr>
        <w:spacing w:after="40"/>
      </w:pPr>
      <w:r>
        <w:rPr>
          <w:sz w:val="19"/>
          <w:szCs w:val="19"/>
        </w:rPr>
        <w:t xml:space="preserve">• Implementing cost and gradients from first principles builds deep understanding; the vectorised forms are then trivial to deploy in production.</w:t>
      </w:r>
    </w:p>
    <w:p>
      <w:pPr>
        <w:spacing w:after="40"/>
      </w:pPr>
      <w:r>
        <w:rPr>
          <w:sz w:val="19"/>
          <w:szCs w:val="19"/>
        </w:rPr>
        <w:t xml:space="preserve">• Always plot the cost trajectory – a rising or oscillating cost is the earliest warning of an inappropriate learning rate.</w:t>
      </w:r>
    </w:p>
    <w:p>
      <w:pPr>
        <w:spacing w:after="40"/>
      </w:pPr>
      <w:r>
        <w:rPr>
          <w:sz w:val="19"/>
          <w:szCs w:val="19"/>
        </w:rPr>
        <w:t xml:space="preserve">• Audience adaptation is essential: executives need the two dollar forecasts and one clean chart; technical peers need residual diagnostics, R² and code alternatives.</w:t>
      </w:r>
    </w:p>
    <w:p>
      <w:pPr>
        <w:spacing w:after="40"/>
      </w:pPr>
      <w:r>
        <w:rPr>
          <w:sz w:val="19"/>
          <w:szCs w:val="19"/>
        </w:rPr>
        <w:t xml:space="preserve">• The same workflow (load → cost → gradient → GD → diagnose → predict → simulate → narrate) is a reusable template for any single-feature linear-regression problem.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1-Page Summary Report  •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Restaurant Franchise Profits – Linear Regression | Extended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edca98f998957a70cb079868f0a8357c47c9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2026-08-23T21:12:01.952Z</dcterms:created>
  <dcterms:modified xsi:type="dcterms:W3CDTF">2026-08-23T21:12:01.952Z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