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rPr>
        <w:t xml:space="preserve">TO:		</w:t>
      </w:r>
      <w:r>
        <w:t xml:space="preserve">Program Leadership &amp; Health Guidelines Team</w:t>
      </w:r>
    </w:p>
    <w:p>
      <w:pPr>
        <w:spacing w:after="60"/>
      </w:pPr>
      <w:r>
        <w:rPr>
          <w:b/>
          <w:bCs/>
        </w:rPr>
        <w:t xml:space="preserve">FROM:		</w:t>
      </w:r>
      <w:r>
        <w:t xml:space="preserve">Data Analysis Practice Team</w:t>
      </w:r>
    </w:p>
    <w:p>
      <w:pPr>
        <w:spacing w:after="60"/>
      </w:pPr>
      <w:r>
        <w:rPr>
          <w:b/>
          <w:bCs/>
        </w:rPr>
        <w:t xml:space="preserve">DATE:		</w:t>
      </w:r>
      <w:r>
        <w:t xml:space="preserve">August 18, 2026</w:t>
      </w:r>
    </w:p>
    <w:p>
      <w:pPr>
        <w:spacing w:after="60"/>
      </w:pPr>
      <w:r>
        <w:rPr>
          <w:b/>
          <w:bCs/>
        </w:rPr>
        <w:t xml:space="preserve">RE:		</w:t>
      </w:r>
      <w:r>
        <w:rPr>
          <w:b/>
          <w:bCs/>
        </w:rPr>
        <w:t xml:space="preserve">Findings from NYC Air Quality (PM 2.5) Data Exploration — Health Guideline Implications</w:t>
      </w:r>
    </w:p>
    <w:p>
      <w:pPr>
        <w:pBdr>
          <w:bottom w:val="single" w:color="CBD5E1" w:sz="6" w:space="8"/>
        </w:pBdr>
        <w:spacing w:after="200"/>
      </w:pPr>
      <w:r>
        <w:rPr>
          <w:b/>
          <w:bCs/>
        </w:rPr>
        <w:t xml:space="preserve">CC:		</w:t>
      </w:r>
      <w:r>
        <w:t xml:space="preserve">Curriculum Development; Environmental Health Partners</w:t>
      </w:r>
    </w:p>
    <w:p>
      <w:pPr>
        <w:pStyle w:val="Heading1"/>
      </w:pPr>
      <w:r>
        <w:t xml:space="preserve">1. Purpose</w:t>
      </w:r>
    </w:p>
    <w:p>
      <w:pPr>
        <w:spacing w:after="200"/>
      </w:pPr>
      <w:r>
        <w:t xml:space="preserve">This memo summarizes key results from the introductory Python data exploration labs focused on annual average fine particulate matter (PM 2.5) concentrations across three New York City neighborhoods. The analysis supports the organization’s goal of identifying areas with cleaner air and informing practical health guidelines for residents and community partners.</w:t>
      </w:r>
    </w:p>
    <w:p>
      <w:pPr>
        <w:pStyle w:val="Heading1"/>
      </w:pPr>
      <w:r>
        <w:t xml:space="preserve">2. Background &amp; Scope</w:t>
      </w:r>
    </w:p>
    <w:p>
      <w:pPr>
        <w:spacing w:after="120"/>
      </w:pPr>
      <w:r>
        <w:t xml:space="preserve">We examined a reduced EPA-derived dataset containing 39 observations (2009–2021) for:</w:t>
      </w:r>
    </w:p>
    <w:p>
      <w:pPr>
        <w:pStyle w:val="ListParagraph"/>
        <w:numPr>
          <w:ilvl w:val="0"/>
          <w:numId w:val="2"/>
        </w:numPr>
      </w:pPr>
      <w:r>
        <w:t xml:space="preserve">Chelsea – Clinton</w:t>
      </w:r>
    </w:p>
    <w:p>
      <w:pPr>
        <w:pStyle w:val="ListParagraph"/>
        <w:numPr>
          <w:ilvl w:val="0"/>
          <w:numId w:val="2"/>
        </w:numPr>
      </w:pPr>
      <w:r>
        <w:t xml:space="preserve">Long Island City – Astoria</w:t>
      </w:r>
    </w:p>
    <w:p>
      <w:pPr>
        <w:pStyle w:val="ListParagraph"/>
        <w:numPr>
          <w:ilvl w:val="0"/>
          <w:numId w:val="2"/>
        </w:numPr>
      </w:pPr>
      <w:r>
        <w:t xml:space="preserve">Upper West Side</w:t>
      </w:r>
    </w:p>
    <w:p>
      <w:pPr>
        <w:spacing w:after="200" w:before="120"/>
      </w:pPr>
      <w:r>
        <w:t xml:space="preserve">Features analyzed: geographic place name, annual average PM 2.5 (mcg/m³), and year. An additional 2022 observation for Chelsea–Clinton was incorporated in one exercise.</w:t>
      </w:r>
    </w:p>
    <w:p>
      <w:pPr>
        <w:pStyle w:val="Heading1"/>
      </w:pPr>
      <w:r>
        <w:t xml:space="preserve">3. Key Findings</w:t>
      </w:r>
    </w:p>
    <w:p>
      <w:pPr>
        <w:pStyle w:val="Heading2"/>
      </w:pPr>
      <w:r>
        <w:t xml:space="preserve">3.1 Overall Levels</w:t>
      </w:r>
    </w:p>
    <w:p>
      <w:pPr>
        <w:spacing w:after="120"/>
      </w:pPr>
      <w:r>
        <w:t xml:space="preserve">The average annual PM 2.5 across all observations is approximately 9.93 mcg/m³. This sits below the historical EPA annual standard of 12 mcg/m³ (used as a moderate-risk reference in the labs) but remains relevant for sensitive populations.</w:t>
      </w:r>
    </w:p>
    <w:p>
      <w:pPr>
        <w:pStyle w:val="Heading2"/>
      </w:pPr>
      <w:r>
        <w:t xml:space="preserve">3.2 Peak Pollution Event</w:t>
      </w:r>
    </w:p>
    <w:p>
      <w:pPr>
        <w:spacing w:after="120"/>
      </w:pPr>
      <w:r>
        <w:t xml:space="preserve">The highest recorded value is 14.2 mcg/m³ in Chelsea–Clinton in 2009. Several consecutive years in the same neighborhood (2009–2014) exceeded 12 mcg/m³. Upper West Side also recorded one exceedance (12.2 mcg/m³ in 2009).</w:t>
      </w:r>
    </w:p>
    <w:p>
      <w:pPr>
        <w:pStyle w:val="Heading2"/>
      </w:pPr>
      <w:r>
        <w:t xml:space="preserve">3.3 Regional Comparison</w:t>
      </w:r>
    </w:p>
    <w:p>
      <w:pPr>
        <w:spacing w:after="80"/>
      </w:pPr>
      <w:r>
        <w:t xml:space="preserve">Average PM 2.5 by neighborhood (2009–2021):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b/>
                <w:bCs/>
                <w:color w:val="FFFFFF"/>
                <w:sz w:val="20"/>
                <w:szCs w:val="20"/>
              </w:rPr>
              <w:t xml:space="preserve">Neighborhood</w:t>
            </w:r>
          </w:p>
        </w:tc>
        <w:tc>
          <w:tcPr>
            <w:tcW w:type="dxa" w:w="2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pPr>
              <w:jc w:val="center"/>
            </w:pPr>
            <w:r>
              <w:rPr>
                <w:b/>
                <w:bCs/>
                <w:color w:val="FFFFFF"/>
                <w:sz w:val="20"/>
                <w:szCs w:val="20"/>
              </w:rPr>
              <w:t xml:space="preserve">Avg PM 2.5</w:t>
            </w:r>
          </w:p>
        </w:tc>
        <w:tc>
          <w:tcPr>
            <w:tcW w:type="dxa" w:w="2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pPr>
              <w:jc w:val="center"/>
            </w:pPr>
            <w:r>
              <w:rPr>
                <w:b/>
                <w:bCs/>
                <w:color w:val="FFFFFF"/>
                <w:sz w:val="20"/>
                <w:szCs w:val="20"/>
              </w:rPr>
              <w:t xml:space="preserve">Observations</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Chelsea – Clinton</w:t>
            </w:r>
          </w:p>
        </w:tc>
        <w:tc>
          <w:tcPr>
            <w:tcW w:type="dxa" w:w="2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sz w:val="20"/>
                <w:szCs w:val="20"/>
              </w:rPr>
              <w:t xml:space="preserve">11.28 mcg/m³</w:t>
            </w:r>
          </w:p>
        </w:tc>
        <w:tc>
          <w:tcPr>
            <w:tcW w:type="dxa" w:w="2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sz w:val="20"/>
                <w:szCs w:val="20"/>
              </w:rPr>
              <w:t xml:space="preserve">13</w:t>
            </w:r>
          </w:p>
        </w:tc>
      </w:tr>
      <w:tr>
        <w:tc>
          <w:tcPr>
            <w:tcW w:type="dxa" w:w="4000"/>
            <w:tcBorders>
              <w:top w:val="single" w:color="CCCCCC" w:sz="1"/>
              <w:left w:val="single" w:color="CCCCCC" w:sz="1"/>
              <w:bottom w:val="single" w:color="CCCCCC" w:sz="1"/>
              <w:right w:val="single" w:color="CCCCCC" w:sz="1"/>
            </w:tcBorders>
            <w:shd w:fill="F8FAFC" w:val="clear"/>
            <w:tcMar>
              <w:top w:type="dxa" w:w="50"/>
              <w:left w:type="dxa" w:w="100"/>
              <w:bottom w:type="dxa" w:w="50"/>
              <w:right w:type="dxa" w:w="100"/>
            </w:tcMar>
          </w:tcPr>
          <w:p>
            <w:r>
              <w:rPr>
                <w:sz w:val="20"/>
                <w:szCs w:val="20"/>
              </w:rPr>
              <w:t xml:space="preserve">Long Island City – Astoria</w:t>
            </w:r>
          </w:p>
        </w:tc>
        <w:tc>
          <w:tcPr>
            <w:tcW w:type="dxa" w:w="2680"/>
            <w:tcBorders>
              <w:top w:val="single" w:color="CCCCCC" w:sz="1"/>
              <w:left w:val="single" w:color="CCCCCC" w:sz="1"/>
              <w:bottom w:val="single" w:color="CCCCCC" w:sz="1"/>
              <w:right w:val="single" w:color="CCCCCC" w:sz="1"/>
            </w:tcBorders>
            <w:shd w:fill="F8FAFC" w:val="clear"/>
            <w:tcMar>
              <w:top w:type="dxa" w:w="50"/>
              <w:left w:type="dxa" w:w="100"/>
              <w:bottom w:type="dxa" w:w="50"/>
              <w:right w:type="dxa" w:w="100"/>
            </w:tcMar>
          </w:tcPr>
          <w:p>
            <w:pPr>
              <w:jc w:val="center"/>
            </w:pPr>
            <w:r>
              <w:rPr>
                <w:sz w:val="20"/>
                <w:szCs w:val="20"/>
              </w:rPr>
              <w:t xml:space="preserve">9.15 mcg/m³</w:t>
            </w:r>
          </w:p>
        </w:tc>
        <w:tc>
          <w:tcPr>
            <w:tcW w:type="dxa" w:w="2680"/>
            <w:tcBorders>
              <w:top w:val="single" w:color="CCCCCC" w:sz="1"/>
              <w:left w:val="single" w:color="CCCCCC" w:sz="1"/>
              <w:bottom w:val="single" w:color="CCCCCC" w:sz="1"/>
              <w:right w:val="single" w:color="CCCCCC" w:sz="1"/>
            </w:tcBorders>
            <w:shd w:fill="F8FAFC" w:val="clear"/>
            <w:tcMar>
              <w:top w:type="dxa" w:w="50"/>
              <w:left w:type="dxa" w:w="100"/>
              <w:bottom w:type="dxa" w:w="50"/>
              <w:right w:type="dxa" w:w="100"/>
            </w:tcMar>
          </w:tcPr>
          <w:p>
            <w:pPr>
              <w:jc w:val="center"/>
            </w:pPr>
            <w:r>
              <w:rPr>
                <w:sz w:val="20"/>
                <w:szCs w:val="20"/>
              </w:rPr>
              <w:t xml:space="preserve">13</w:t>
            </w:r>
          </w:p>
        </w:tc>
      </w:tr>
      <w:tr>
        <w:tc>
          <w:tcPr>
            <w:tcW w:type="dxa" w:w="4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sz w:val="20"/>
                <w:szCs w:val="20"/>
              </w:rPr>
              <w:t xml:space="preserve">Upper West Side</w:t>
            </w:r>
          </w:p>
        </w:tc>
        <w:tc>
          <w:tcPr>
            <w:tcW w:type="dxa" w:w="2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sz w:val="20"/>
                <w:szCs w:val="20"/>
              </w:rPr>
              <w:t xml:space="preserve">9.34 mcg/m³</w:t>
            </w:r>
          </w:p>
        </w:tc>
        <w:tc>
          <w:tcPr>
            <w:tcW w:type="dxa" w:w="2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sz w:val="20"/>
                <w:szCs w:val="20"/>
              </w:rPr>
              <w:t xml:space="preserve">13</w:t>
            </w:r>
          </w:p>
        </w:tc>
      </w:tr>
    </w:tbl>
    <w:p>
      <w:pPr>
        <w:spacing w:after="200" w:before="120"/>
      </w:pPr>
      <w:r>
        <w:rPr>
          <w:i/>
          <w:iCs/>
          <w:color w:val="475569"/>
          <w:sz w:val="20"/>
          <w:szCs w:val="20"/>
        </w:rPr>
        <w:t xml:space="preserve">Chelsea–Clinton consistently shows the highest average and the greatest number of high-pollution years. Long Island City–Astoria records the cleanest average among the three.</w:t>
      </w:r>
    </w:p>
    <w:p>
      <w:pPr>
        <w:pStyle w:val="Heading2"/>
      </w:pPr>
      <w:r>
        <w:t xml:space="preserve">3.4 Trend Direction</w:t>
      </w:r>
    </w:p>
    <w:p>
      <w:pPr>
        <w:spacing w:after="200"/>
      </w:pPr>
      <w:r>
        <w:t xml:space="preserve">Across all three neighborhoods, annual averages decline substantially from 2009 to 2021. Values in the early 2010s that frequently exceeded 12 mcg/m³ have moved into the 6–8 mcg/m³ range by 2020–2021, indicating measurable improvement in local air quality.</w:t>
      </w:r>
    </w:p>
    <w:p>
      <w:pPr>
        <w:pStyle w:val="Heading1"/>
      </w:pPr>
      <w:r>
        <w:t xml:space="preserve">4. Recommendations for Health Guidelines</w:t>
      </w:r>
    </w:p>
    <w:p>
      <w:pPr>
        <w:pStyle w:val="ListParagraph"/>
        <w:numPr>
          <w:ilvl w:val="0"/>
          <w:numId w:val="3"/>
        </w:numPr>
      </w:pPr>
      <w:r>
        <w:rPr>
          <w:b/>
          <w:bCs/>
        </w:rPr>
        <w:t xml:space="preserve">Prioritize communication in Chelsea–Clinton.</w:t>
      </w:r>
      <w:r>
        <w:t xml:space="preserve"> Historical exceedances and the highest regional average suggest this area warrants targeted messaging about outdoor activity during high-pollution periods and longer-term exposure reduction.</w:t>
      </w:r>
    </w:p>
    <w:p>
      <w:pPr>
        <w:pStyle w:val="ListParagraph"/>
        <w:numPr>
          <w:ilvl w:val="0"/>
          <w:numId w:val="3"/>
        </w:numPr>
      </w:pPr>
      <w:r>
        <w:rPr>
          <w:b/>
          <w:bCs/>
        </w:rPr>
        <w:t xml:space="preserve">Highlight the positive trend.</w:t>
      </w:r>
      <w:r>
        <w:t xml:space="preserve"> Residents and partners should be informed that air quality has improved markedly; continued monitoring and policy support remain important to sustain gains.</w:t>
      </w:r>
    </w:p>
    <w:p>
      <w:pPr>
        <w:pStyle w:val="ListParagraph"/>
        <w:numPr>
          <w:ilvl w:val="0"/>
          <w:numId w:val="3"/>
        </w:numPr>
      </w:pPr>
      <w:r>
        <w:rPr>
          <w:b/>
          <w:bCs/>
        </w:rPr>
        <w:t xml:space="preserve">Use 12 mcg/m³ as a practical reference threshold</w:t>
      </w:r>
      <w:r>
        <w:t xml:space="preserve"> for “moderate concern” messaging while noting that sensitive individuals may experience effects at lower levels.</w:t>
      </w:r>
    </w:p>
    <w:p>
      <w:pPr>
        <w:pStyle w:val="ListParagraph"/>
        <w:numPr>
          <w:ilvl w:val="0"/>
          <w:numId w:val="3"/>
        </w:numPr>
      </w:pPr>
      <w:r>
        <w:rPr>
          <w:b/>
          <w:bCs/>
        </w:rPr>
        <w:t xml:space="preserve">Extend the analysis.</w:t>
      </w:r>
      <w:r>
        <w:t xml:space="preserve"> Recommend incorporating additional neighborhoods, more recent years, and complementary pollutants (e.g., NO₂, ozone) using the same transparent list-and-loop methodology as a teaching and screening tool.</w:t>
      </w:r>
    </w:p>
    <w:p>
      <w:pPr>
        <w:pStyle w:val="Heading1"/>
      </w:pPr>
      <w:r>
        <w:t xml:space="preserve">5. Methods Note</w:t>
      </w:r>
    </w:p>
    <w:p>
      <w:pPr>
        <w:spacing w:after="200"/>
      </w:pPr>
      <w:r>
        <w:t xml:space="preserve">All calculations were performed with basic Python list operations (sum, len, max, indexing) and for-loops. No external statistics libraries were required. This approach was chosen deliberately for transparency and pedagogical clarity in the accompanying practice labs.</w:t>
      </w:r>
    </w:p>
    <w:p>
      <w:pPr>
        <w:pStyle w:val="Heading1"/>
      </w:pPr>
      <w:r>
        <w:t xml:space="preserve">6. Next Steps</w:t>
      </w:r>
    </w:p>
    <w:p>
      <w:pPr>
        <w:spacing w:after="120"/>
      </w:pPr>
      <w:r>
        <w:t xml:space="preserve">We will circulate the completed practice notebooks, a reusable analysis template, a project checklist, and a presentation deck. Please advise if you require neighborhood-specific one-pagers or integration of these findings into the next round of community health materials.</w:t>
      </w:r>
    </w:p>
    <w:p>
      <w:pPr>
        <w:spacing w:before="300"/>
      </w:pPr>
      <w:r>
        <w:t xml:space="preserve">Respectfully submitted,</w:t>
      </w:r>
    </w:p>
    <w:p>
      <w:pPr>
        <w:spacing w:before="200"/>
      </w:pPr>
      <w:r>
        <w:rPr>
          <w:b/>
          <w:bCs/>
        </w:rPr>
        <w:t xml:space="preserve">Data Analysis Practice Team</w:t>
      </w:r>
    </w:p>
    <w:p>
      <w:r>
        <w:rPr>
          <w:i/>
          <w:iCs/>
          <w:color w:val="64748B"/>
        </w:rPr>
        <w:t xml:space="preserve">Air Quality Exploration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Confidential — For internal use  |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12" w:space="1"/>
      </w:pBdr>
    </w:pPr>
    <w:r>
      <w:rPr>
        <w:b/>
        <w:bCs/>
        <w:color w:val="1E3A5F"/>
        <w:sz w:val="18"/>
        <w:szCs w:val="18"/>
      </w:rPr>
      <w:t xml:space="preserve">INTERNAL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5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2026-08-18T06:08:19.958Z</dcterms:created>
  <dcterms:modified xsi:type="dcterms:W3CDTF">2026-08-18T06:08:19.958Z</dcterms:modified>
</cp:coreProperties>
</file>

<file path=docProps/custom.xml><?xml version="1.0" encoding="utf-8"?>
<Properties xmlns="http://schemas.openxmlformats.org/officeDocument/2006/custom-properties" xmlns:vt="http://schemas.openxmlformats.org/officeDocument/2006/docPropsVTypes"/>
</file>