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5 Topics Suitable for the Same Project Structure</w:t>
      </w:r>
    </w:p>
    <w:p>
      <w:pPr>
        <w:spacing w:after="200"/>
      </w:pPr>
      <w:r>
        <w:rPr>
          <w:sz w:val="21"/>
          <w:szCs w:val="21"/>
        </w:rPr>
        <w:t xml:space="preserve">The NYC Air Quality labs teach parallel lists, basic aggregates (sum / average / max), indexing, appending, and for-loops with conditionals. The same pedagogical pattern works for any modest-sized, multi-category time-series or cross-sectional dataset that can be represented as three or more aligned lists. Below are five high-value topics that map cleanly onto this structure.</w:t>
      </w:r>
    </w:p>
    <w:p>
      <w:pPr>
        <w:pStyle w:val="Heading2"/>
      </w:pPr>
      <w:r>
        <w:t xml:space="preserve">1. Neighborhood Water Quality (Lead / Contaminant Levels)</w:t>
      </w:r>
    </w:p>
    <w:p>
      <w:pPr>
        <w:spacing w:after="80"/>
      </w:pPr>
      <w:r>
        <w:rPr>
          <w:b/>
          <w:bCs/>
        </w:rPr>
        <w:t xml:space="preserve">Why it fits: </w:t>
      </w:r>
      <w:r>
        <w:t xml:space="preserve">Identical structure — place name, numeric concentration (ppb), year or sampling period. Thresholds (e.g., EPA action level for lead) replace the 12 mcg/m³ PM 2.5 cutoff. Students can flag exceedances, compute neighborhood averages, and identify the worst historical reading.</w:t>
      </w:r>
    </w:p>
    <w:p>
      <w:pPr>
        <w:pStyle w:val="ListParagraph"/>
        <w:numPr>
          <w:ilvl w:val="0"/>
          <w:numId w:val="2"/>
        </w:numPr>
      </w:pPr>
      <w:r>
        <w:t xml:space="preserve">Parallel lists: geo_place, lead_ppb, year</w:t>
      </w:r>
    </w:p>
    <w:p>
      <w:pPr>
        <w:pStyle w:val="ListParagraph"/>
        <w:numPr>
          <w:ilvl w:val="0"/>
          <w:numId w:val="2"/>
        </w:numPr>
      </w:pPr>
      <w:r>
        <w:t xml:space="preserve">Key exercises: filter above action level, regional averages, max observation</w:t>
      </w:r>
    </w:p>
    <w:p>
      <w:pPr>
        <w:pStyle w:val="ListParagraph"/>
        <w:numPr>
          <w:ilvl w:val="0"/>
          <w:numId w:val="2"/>
        </w:numPr>
      </w:pPr>
      <w:r>
        <w:t xml:space="preserve">Health-guideline payoff: clear public-health messaging opportunity</w:t>
      </w:r>
    </w:p>
    <w:p>
      <w:pPr>
        <w:pStyle w:val="Heading2"/>
      </w:pPr>
      <w:r>
        <w:t xml:space="preserve">2. Urban Heat / Temperature Extremes by District</w:t>
      </w:r>
    </w:p>
    <w:p>
      <w:pPr>
        <w:spacing w:after="80"/>
      </w:pPr>
      <w:r>
        <w:rPr>
          <w:b/>
          <w:bCs/>
        </w:rPr>
        <w:t xml:space="preserve">Why it fits: </w:t>
      </w:r>
      <w:r>
        <w:t xml:space="preserve">Average summer high or number of days above a heat threshold per neighborhood and year. Students practice the same max/average/filter pattern while learning about urban heat islands and climate vulnerability.</w:t>
      </w:r>
    </w:p>
    <w:p>
      <w:pPr>
        <w:pStyle w:val="ListParagraph"/>
        <w:numPr>
          <w:ilvl w:val="0"/>
          <w:numId w:val="2"/>
        </w:numPr>
      </w:pPr>
      <w:r>
        <w:t xml:space="preserve">Parallel lists: district_name, avg_summer_temp_F (or heat_days), year</w:t>
      </w:r>
    </w:p>
    <w:p>
      <w:pPr>
        <w:pStyle w:val="ListParagraph"/>
        <w:numPr>
          <w:ilvl w:val="0"/>
          <w:numId w:val="2"/>
        </w:numPr>
      </w:pPr>
      <w:r>
        <w:t xml:space="preserve">Key exercises: identify hottest years/districts, group averages, trend observation</w:t>
      </w:r>
    </w:p>
    <w:p>
      <w:pPr>
        <w:pStyle w:val="ListParagraph"/>
        <w:numPr>
          <w:ilvl w:val="0"/>
          <w:numId w:val="2"/>
        </w:numPr>
      </w:pPr>
      <w:r>
        <w:t xml:space="preserve">Extension: link to cooling-center planning or heat-alert guidelines</w:t>
      </w:r>
    </w:p>
    <w:p>
      <w:pPr>
        <w:pStyle w:val="Heading2"/>
      </w:pPr>
      <w:r>
        <w:t xml:space="preserve">3. Traffic Congestion or Average Daily Vehicle Counts</w:t>
      </w:r>
    </w:p>
    <w:p>
      <w:pPr>
        <w:spacing w:after="80"/>
      </w:pPr>
      <w:r>
        <w:rPr>
          <w:b/>
          <w:bCs/>
        </w:rPr>
        <w:t xml:space="preserve">Why it fits: </w:t>
      </w:r>
      <w:r>
        <w:t xml:space="preserve">Corridor or borough-level traffic volume or congestion index by year. The numeric feature can be average daily traffic, peak-hour delay minutes, or a congestion score. Filtering high-congestion years and comparing corridors mirrors the air-quality regional split.</w:t>
      </w:r>
    </w:p>
    <w:p>
      <w:pPr>
        <w:pStyle w:val="ListParagraph"/>
        <w:numPr>
          <w:ilvl w:val="0"/>
          <w:numId w:val="2"/>
        </w:numPr>
      </w:pPr>
      <w:r>
        <w:t xml:space="preserve">Parallel lists: corridor_or_borough, traffic_volume (or delay_index), year</w:t>
      </w:r>
    </w:p>
    <w:p>
      <w:pPr>
        <w:pStyle w:val="ListParagraph"/>
        <w:numPr>
          <w:ilvl w:val="0"/>
          <w:numId w:val="2"/>
        </w:numPr>
      </w:pPr>
      <w:r>
        <w:t xml:space="preserve">Key exercises: threshold filtering, corridor averages, locating the peak observation</w:t>
      </w:r>
    </w:p>
    <w:p>
      <w:pPr>
        <w:pStyle w:val="ListParagraph"/>
        <w:numPr>
          <w:ilvl w:val="0"/>
          <w:numId w:val="2"/>
        </w:numPr>
      </w:pPr>
      <w:r>
        <w:t xml:space="preserve">Policy angle: informs transit investment or congestion-pricing discussions</w:t>
      </w:r>
    </w:p>
    <w:p>
      <w:pPr>
        <w:pStyle w:val="Heading2"/>
      </w:pPr>
      <w:r>
        <w:t xml:space="preserve">4. Noise Pollution Levels by Monitoring Site</w:t>
      </w:r>
    </w:p>
    <w:p>
      <w:pPr>
        <w:spacing w:after="80"/>
      </w:pPr>
      <w:r>
        <w:rPr>
          <w:b/>
          <w:bCs/>
        </w:rPr>
        <w:t xml:space="preserve">Why it fits: </w:t>
      </w:r>
      <w:r>
        <w:t xml:space="preserve">Decibel readings or percentage of time above a noise ordinance threshold, by site and year (or day-part). Threshold logic is especially natural (e.g., &gt;65 dB or &gt;70 dB). Students gain experience with a continuous environmental metric that affects health and quality of life.</w:t>
      </w:r>
    </w:p>
    <w:p>
      <w:pPr>
        <w:pStyle w:val="ListParagraph"/>
        <w:numPr>
          <w:ilvl w:val="0"/>
          <w:numId w:val="2"/>
        </w:numPr>
      </w:pPr>
      <w:r>
        <w:t xml:space="preserve">Parallel lists: monitoring_site, avg_dB (or pct_above_threshold), year</w:t>
      </w:r>
    </w:p>
    <w:p>
      <w:pPr>
        <w:pStyle w:val="ListParagraph"/>
        <w:numPr>
          <w:ilvl w:val="0"/>
          <w:numId w:val="2"/>
        </w:numPr>
      </w:pPr>
      <w:r>
        <w:t xml:space="preserve">Key exercises: flag sites exceeding ordinance, compute site averages, find maximum</w:t>
      </w:r>
    </w:p>
    <w:p>
      <w:pPr>
        <w:pStyle w:val="ListParagraph"/>
        <w:numPr>
          <w:ilvl w:val="0"/>
          <w:numId w:val="2"/>
        </w:numPr>
      </w:pPr>
      <w:r>
        <w:t xml:space="preserve">Guideline use: support recommendations for quiet zones or mitigation measures</w:t>
      </w:r>
    </w:p>
    <w:p>
      <w:pPr>
        <w:pStyle w:val="Heading2"/>
      </w:pPr>
      <w:r>
        <w:t xml:space="preserve">5. Local Crime or Incident Rates by Precinct / Neighborhood</w:t>
      </w:r>
    </w:p>
    <w:p>
      <w:pPr>
        <w:spacing w:after="80"/>
      </w:pPr>
      <w:r>
        <w:rPr>
          <w:b/>
          <w:bCs/>
        </w:rPr>
        <w:t xml:space="preserve">Why it fits: </w:t>
      </w:r>
      <w:r>
        <w:t xml:space="preserve">Annual counts or rates of a specific incident type (e.g., traffic collisions, property crime, or 311 complaints of a given category) by precinct and year. The structure remains identical while shifting domain from environmental health to public safety analytics.</w:t>
      </w:r>
    </w:p>
    <w:p>
      <w:pPr>
        <w:pStyle w:val="ListParagraph"/>
        <w:numPr>
          <w:ilvl w:val="0"/>
          <w:numId w:val="2"/>
        </w:numPr>
      </w:pPr>
      <w:r>
        <w:t xml:space="preserve">Parallel lists: precinct_or_neighborhood, incident_count (or rate_per_1000), year</w:t>
      </w:r>
    </w:p>
    <w:p>
      <w:pPr>
        <w:pStyle w:val="ListParagraph"/>
        <w:numPr>
          <w:ilvl w:val="0"/>
          <w:numId w:val="2"/>
        </w:numPr>
      </w:pPr>
      <w:r>
        <w:t xml:space="preserve">Key exercises: high-incident years, precinct averages, maximum observation context</w:t>
      </w:r>
    </w:p>
    <w:p>
      <w:pPr>
        <w:pStyle w:val="ListParagraph"/>
        <w:numPr>
          <w:ilvl w:val="0"/>
          <w:numId w:val="2"/>
        </w:numPr>
      </w:pPr>
      <w:r>
        <w:t xml:space="preserve">Care note: choose non-sensitive aggregated public data; emphasize ethical interpretation</w:t>
      </w:r>
    </w:p>
    <w:p>
      <w:pPr>
        <w:spacing w:before="300"/>
      </w:pPr>
      <w:r>
        <w:rPr>
          <w:b/>
          <w:bCs/>
        </w:rPr>
        <w:t xml:space="preserve">Implementation tip: </w:t>
      </w:r>
      <w:r>
        <w:t xml:space="preserve">For any of the above topics, keep the first version to 3–4 categories and 8–15 time periods so the parallel-list approach stays manageable. Once students master the pattern, they can graduate to dictionaries of lists or pandas without losing the conceptual foundation built in these labs.</w:t>
      </w:r>
    </w:p>
    <w:p>
      <w:pPr>
        <w:spacing w:before="200"/>
      </w:pPr>
      <w:r>
        <w:rPr>
          <w:i/>
          <w:iCs/>
          <w:color w:val="475569"/>
        </w:rPr>
        <w:t xml:space="preserve">All five topics preserve the core learning sequence: inspect → aggregate → filter with loops → split by category → interpret in context.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Reusable Pedagogical Structure  •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color w:val="64748B"/>
        <w:sz w:val="18"/>
        <w:szCs w:val="18"/>
      </w:rPr>
      <w:t xml:space="preserve">Air Quality Project Extensions</w:t>
    </w:r>
    <w:r>
      <w:rPr>
        <w:color w:val="94A3B8"/>
        <w:sz w:val="18"/>
        <w:szCs w:val="18"/>
      </w:rPr>
      <w:t xml:space="preserve">  |  Related Analysis Topics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2026-08-18T06:09:07.690Z</dcterms:created>
  <dcterms:modified xsi:type="dcterms:W3CDTF">2026-08-18T06:09:07.690Z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