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Machine Learning Project Readiness Checklist</w:t>
      </w:r>
    </w:p>
    <w:p>
      <w:pPr>
        <w:spacing w:after="200"/>
      </w:pPr>
      <w:r>
        <w:rPr>
          <w:i/>
          <w:iCs/>
          <w:color w:val="555555"/>
        </w:rPr>
        <w:t xml:space="preserve">Based on “Getting Started with Machine Learning and Python” (Chapter 1, Python Machine Learning by Example, 4th edition).</w:t>
      </w:r>
    </w:p>
    <w:p>
      <w:pPr>
        <w:pBdr>
          <w:bottom w:val="single" w:color="999999" w:sz="6"/>
        </w:pBdr>
        <w:spacing w:after="200"/>
      </w:pPr>
      <w:r>
        <w:t xml:space="preserve"/>
      </w:r>
    </w:p>
    <w:p>
      <w:pPr>
        <w:pStyle w:val="Heading1"/>
        <w:spacing w:after="120" w:before="300"/>
      </w:pPr>
      <w:r>
        <w:t xml:space="preserve">1. Prerequisites and Team Readiness</w:t>
      </w:r>
    </w:p>
    <w:p>
      <w:pPr>
        <w:spacing w:after="120"/>
      </w:pPr>
      <w:r>
        <w:rPr>
          <w:i/>
          <w:iCs/>
          <w:color w:val="555555"/>
        </w:rPr>
        <w:t xml:space="preserve">Before writing any code, confirm the people and knowledge required are in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working knowledge of Python programming is available on the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Basic probability theory and linear algebra are understood well enough to interpret model behavior (not necessarily to derive it from scratch).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problem owner understands that machine learning finds patterns from data rather than following explicit human-written rules — and has realistic expectations accordingly.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There is a clear business or research question the model needs to answer.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team has considered whether traditional rule-based automation could solve the problem more simply and cheaply — machine learning is chosen because rules would be too numerous, too expensive to maintain, or the patterns are not fully known.</w:t>
      </w:r>
    </w:p>
    <w:p>
      <w:pPr>
        <w:pStyle w:val="Heading1"/>
        <w:spacing w:after="120" w:before="300"/>
      </w:pPr>
      <w:r>
        <w:t xml:space="preserve">2. Problem Framing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learning task has been classified as supervised, unsupervised, semi-supervised, or reinforcement learning.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If supervised: the task has been identified as classification (discrete labels) or regression (continuous values).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evaluation function (loss/cost function) that will measure “how well the model learns” has been defined.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Success criteria and an acceptable performance threshold have been agreed upon before modeling starts.</w:t>
      </w:r>
    </w:p>
    <w:p>
      <w:pPr>
        <w:pStyle w:val="Heading1"/>
        <w:spacing w:after="120" w:before="300"/>
      </w:pPr>
      <w:r>
        <w:t xml:space="preserve">3. Data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Enough historical data exists to let the model generalize (not just memorize).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For supervised learning, labeled data (targets/desired outputs) is available or can be produced (event logs, expert annotation, crowd-sourcing).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data has been scanned and/or visualized to understand types, distributions, and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Known sources of noise, inconsistency, or bias in the data collection process have been documented.</w:t>
      </w:r>
    </w:p>
    <w:p>
      <w:pPr>
        <w:pStyle w:val="Heading1"/>
        <w:spacing w:after="120" w:before="300"/>
      </w:pPr>
      <w:r>
        <w:t xml:space="preserve">4. Data Preprocessing</w:t>
      </w:r>
    </w:p>
    <w:p>
      <w:pPr>
        <w:pStyle w:val="Heading2"/>
        <w:spacing w:after="100" w:before="200"/>
      </w:pPr>
      <w:r>
        <w:t xml:space="preserve">Missing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Missing values have been identified (including sentinel values such as -1 or 999999 used to encode “missing”).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strategy has been chosen: ignore, or impute with mean/median/mode or a domain-informed estimate.</w:t>
      </w:r>
    </w:p>
    <w:p>
      <w:pPr>
        <w:pStyle w:val="Heading2"/>
        <w:spacing w:after="100" w:before="200"/>
      </w:pPr>
      <w:r>
        <w:t xml:space="preserve">Encoding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Categorical/text features have been converted to numerical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Label encoding is used only where an order is meaningful (e.g. low/medium/high); one-hot encoding is used for unordered categories to avoid implying false ordinal relationships.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For high-cardinality categorical features, dense embeddings have been considered as a compact alternative to one-hot encoding.</w:t>
      </w:r>
    </w:p>
    <w:p>
      <w:pPr>
        <w:pStyle w:val="Heading2"/>
        <w:spacing w:after="100" w:before="200"/>
      </w:pPr>
      <w:r>
        <w:t xml:space="preserve">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Feature scales have been checked, and standardization (zero mean, unit variance) or min-max scaling to [0, 1] has been applied where the chosen algorithm is scale-sensitive.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For non-normally distributed features, median/interquartile-range scaling has been considered as an alternative to standardization.</w:t>
      </w:r>
    </w:p>
    <w:p>
      <w:pPr>
        <w:pStyle w:val="Heading1"/>
        <w:spacing w:after="120" w:before="300"/>
      </w:pPr>
      <w:r>
        <w:t xml:space="preserve">5. Feature 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Domain knowledge has been used to consider new, potentially informative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Polynomial/interaction terms (e.g. products, ratios, sums of existing features) have been considered where a non-linear relationship is suspected.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Binning of continuous variables into meaningful groups has been considered where fine-grained precision is not needed (e.g. age groups instead of exact 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Feature selection or dimensionality reduction has been considered if the number of features is large relative to the number of examples.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Occam's razor has been applied: unnecessary features and overly complex transformations have been avoided unless they demonstrably improve validation performance.</w:t>
      </w:r>
    </w:p>
    <w:p>
      <w:pPr>
        <w:pStyle w:val="Heading1"/>
        <w:spacing w:after="120" w:before="300"/>
      </w:pPr>
      <w:r>
        <w:t xml:space="preserve">6. Data Splitting and Generalization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Data has been split into training, validation, and testing sets (a common baseline is 60% / 20% / 20%).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testing set is kept completely untouched until final evaluation.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cross-validation scheme (k-fold, leave-one-out, or nested) has been chosen if the dataset is not large enough for a simple three-way split to be reliable.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plan explicitly addresses both overfitting (high variance, memorizing training data) and underfitting (high bias, failing to capture the pattern).</w:t>
      </w:r>
    </w:p>
    <w:p>
      <w:pPr>
        <w:pStyle w:val="Heading1"/>
        <w:spacing w:after="120" w:before="300"/>
      </w:pPr>
      <w:r>
        <w:t xml:space="preserve">7. Model Building and Tuning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simple baseline model has been trained first, consistent with Occam's razor.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Training vs. validation performance has been compared to diagnose overfitting or underfitting.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Regularization has been applied and tuned if the model is overfitting, avoiding both under- and over-regularization.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Early stopping has been considered for iterative learners as an additional safeguard against overfitting.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Hyperparameters have been tuned using cross-validation rather than the test set.</w:t>
      </w:r>
    </w:p>
    <w:p>
      <w:pPr>
        <w:pStyle w:val="Heading1"/>
        <w:spacing w:after="120" w:before="300"/>
      </w:pPr>
      <w:r>
        <w:t xml:space="preserve">8. Model Combination (Optional but Recommended for Hard Problems)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Voting/averaging across diverse models has been considered to reduce the risk of any single model's errors dominating the result.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Bagging (e.g. Random Forests) has been considered to reduce variance and the risk of overfitting.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Boosting has been considered to reduce bias by combining weak learners sequentially, when correctly weighted for class/data imbalance.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Stacking has been considered for combining outputs of several models via a higher-level model, if the added complexity is justified.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Any ensemble has been checked for the risk of combining highly correlated models, which adds cost without adding accuracy.</w:t>
      </w:r>
    </w:p>
    <w:p>
      <w:pPr>
        <w:pStyle w:val="Heading1"/>
        <w:spacing w:after="120" w:before="300"/>
      </w:pPr>
      <w:r>
        <w:t xml:space="preserve">9. Software and Environment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Python 3 is installed, ideally via an Anaconda or Miniconda 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dedicated conda (or virtual) environment has been created for the project, pinned to a compatible Python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Core libraries are installed: NumPy, SciPy, pandas (data analysis); Matplotlib and Seaborn (visualization); scikit-learn (modeling); TensorFlow and/or PyTorch if deep learning is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installation has been verified by importing each package without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Hardware needs have been considered — GPU access (local or via a service such as Google Colab) if training deep neural networks.</w:t>
      </w:r>
    </w:p>
    <w:p>
      <w:pPr>
        <w:pStyle w:val="Heading1"/>
        <w:spacing w:after="120" w:before="300"/>
      </w:pPr>
      <w:r>
        <w:t xml:space="preserve">10. Final Evaluation and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final model has been evaluated exactly once on the held-out test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Results are reported with appropriate metrics for the task (e.g. accuracy/F1/ROC-AUC for classification; MSE/MAE/R² for regression).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Findings, assumptions, preprocessing decisions, and known limitations are documented for reproducibility.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plan exists for monitoring the model's performance over time after deployment, since real-world data can drift from the training distribution.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 "/>
      <w:lvlJc w:val="left"/>
      <w:pPr>
        <w:ind w:left="504" w:hanging="50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2026-08-18T06:06:09.045Z</dcterms:created>
  <dcterms:modified xsi:type="dcterms:W3CDTF">2026-08-18T06:06:09.056Z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