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Instructions Manual</w:t>
      </w:r>
    </w:p>
    <w:p>
      <w:pPr>
        <w:pStyle w:val="Heading2"/>
        <w:spacing w:after="200"/>
      </w:pPr>
      <w:r>
        <w:rPr>
          <w:color w:val="444444"/>
        </w:rPr>
        <w:t xml:space="preserve">Reusable Machine Learning Project Notebook</w:t>
      </w:r>
    </w:p>
    <w:p>
      <w:pPr>
        <w:spacing w:after="120"/>
      </w:pPr>
      <w:r>
        <w:rPr>
          <w:i/>
          <w:iCs/>
          <w:color w:val="555555"/>
        </w:rPr>
        <w:t xml:space="preserve">This manual explains how to use reusable_ml_project_notebook.ipynb, when it is (and is not) an appropriate tool, and walks through worked case studies. It accompanies the ML Project Readiness Checklist and both are based on the methodology in “Getting Started with Machine Learning and Python” (Chapter 1, Python Machine Learning by Example, 4th edition).</w:t>
      </w:r>
    </w:p>
    <w:p>
      <w:pPr>
        <w:pStyle w:val="Heading1"/>
        <w:spacing w:after="140" w:before="320"/>
      </w:pPr>
      <w:r>
        <w:t xml:space="preserve">1. What the Notebook Does</w:t>
      </w:r>
    </w:p>
    <w:p>
      <w:pPr>
        <w:spacing w:after="120"/>
      </w:pPr>
      <w:r>
        <w:t xml:space="preserve">The notebook implements a general-purpose, end-to-end machine learning pipeline that follows the workflow described in Chapter 1:</w:t>
      </w:r>
    </w:p>
    <w:p>
      <w:pPr>
        <w:pStyle w:val="ListParagraph"/>
        <w:numPr>
          <w:ilvl w:val="0"/>
          <w:numId w:val="2"/>
        </w:numPr>
        <w:spacing w:after="60"/>
      </w:pPr>
      <w:r>
        <w:rPr>
          <w:b w:val="false"/>
          <w:bCs w:val="false"/>
        </w:rPr>
        <w:t xml:space="preserve">Load and explore a tabular dataset.</w:t>
      </w:r>
    </w:p>
    <w:p>
      <w:pPr>
        <w:pStyle w:val="ListParagraph"/>
        <w:numPr>
          <w:ilvl w:val="0"/>
          <w:numId w:val="2"/>
        </w:numPr>
        <w:spacing w:after="60"/>
      </w:pPr>
      <w:r>
        <w:rPr>
          <w:b w:val="false"/>
          <w:bCs w:val="false"/>
        </w:rPr>
        <w:t xml:space="preserve">Preprocess it (impute missing values, encode categorical features, scale numeric features).</w:t>
      </w:r>
    </w:p>
    <w:p>
      <w:pPr>
        <w:pStyle w:val="ListParagraph"/>
        <w:numPr>
          <w:ilvl w:val="0"/>
          <w:numId w:val="2"/>
        </w:numPr>
        <w:spacing w:after="60"/>
      </w:pPr>
      <w:r>
        <w:rPr>
          <w:b w:val="false"/>
          <w:bCs w:val="false"/>
        </w:rPr>
        <w:t xml:space="preserve">Optionally engineer features (polynomial/interaction terms, manual binning).</w:t>
      </w:r>
    </w:p>
    <w:p>
      <w:pPr>
        <w:pStyle w:val="ListParagraph"/>
        <w:numPr>
          <w:ilvl w:val="0"/>
          <w:numId w:val="2"/>
        </w:numPr>
        <w:spacing w:after="60"/>
      </w:pPr>
      <w:r>
        <w:rPr>
          <w:b w:val="false"/>
          <w:bCs w:val="false"/>
        </w:rPr>
        <w:t xml:space="preserve">Split the data into training, validation, and testing sets.</w:t>
      </w:r>
    </w:p>
    <w:p>
      <w:pPr>
        <w:pStyle w:val="ListParagraph"/>
        <w:numPr>
          <w:ilvl w:val="0"/>
          <w:numId w:val="2"/>
        </w:numPr>
        <w:spacing w:after="60"/>
      </w:pPr>
      <w:r>
        <w:rPr>
          <w:b w:val="false"/>
          <w:bCs w:val="false"/>
        </w:rPr>
        <w:t xml:space="preserve">Train a simple baseline model and diagnose overfitting vs. underfitting.</w:t>
      </w:r>
    </w:p>
    <w:p>
      <w:pPr>
        <w:pStyle w:val="ListParagraph"/>
        <w:numPr>
          <w:ilvl w:val="0"/>
          <w:numId w:val="2"/>
        </w:numPr>
        <w:spacing w:after="60"/>
      </w:pPr>
      <w:r>
        <w:rPr>
          <w:b w:val="false"/>
          <w:bCs w:val="false"/>
        </w:rPr>
        <w:t xml:space="preserve">Use k-fold cross-validation and grid search to tune regularization/hyperparameters.</w:t>
      </w:r>
    </w:p>
    <w:p>
      <w:pPr>
        <w:pStyle w:val="ListParagraph"/>
        <w:numPr>
          <w:ilvl w:val="0"/>
          <w:numId w:val="2"/>
        </w:numPr>
        <w:spacing w:after="60"/>
      </w:pPr>
      <w:r>
        <w:rPr>
          <w:b w:val="false"/>
          <w:bCs w:val="false"/>
        </w:rPr>
        <w:t xml:space="preserve">Optionally combine models via bagging (Random Forest) or boosting (Gradient Boosting).</w:t>
      </w:r>
    </w:p>
    <w:p>
      <w:pPr>
        <w:pStyle w:val="ListParagraph"/>
        <w:numPr>
          <w:ilvl w:val="0"/>
          <w:numId w:val="2"/>
        </w:numPr>
        <w:spacing w:after="60"/>
      </w:pPr>
      <w:r>
        <w:rPr>
          <w:b w:val="false"/>
          <w:bCs w:val="false"/>
        </w:rPr>
        <w:t xml:space="preserve">Evaluate the final chosen model exactly once on the held-out test set.</w:t>
      </w:r>
    </w:p>
    <w:p>
      <w:pPr>
        <w:pStyle w:val="ListParagraph"/>
        <w:numPr>
          <w:ilvl w:val="0"/>
          <w:numId w:val="2"/>
        </w:numPr>
        <w:spacing w:after="60"/>
      </w:pPr>
      <w:r>
        <w:rPr>
          <w:b w:val="false"/>
          <w:bCs w:val="false"/>
        </w:rPr>
        <w:t xml:space="preserve">Plot a learning curve as an additional bias/variance diagnostic.</w:t>
      </w:r>
    </w:p>
    <w:p>
      <w:pPr>
        <w:spacing w:after="120"/>
      </w:pPr>
      <w:r>
        <w:t xml:space="preserve">It supports both classification and regression problems through a single CONFIG cell, so the same notebook can be reused across many tabular projects instead of being rewritten each time.</w:t>
      </w:r>
    </w:p>
    <w:p>
      <w:pPr>
        <w:pStyle w:val="Heading1"/>
        <w:spacing w:after="140" w:before="320"/>
      </w:pPr>
      <w:r>
        <w:t xml:space="preserve">2. How to Use It, Step by Step</w:t>
      </w:r>
    </w:p>
    <w:p>
      <w:pPr>
        <w:pStyle w:val="ListParagraph"/>
        <w:numPr>
          <w:ilvl w:val="0"/>
          <w:numId w:val="3"/>
        </w:numPr>
        <w:spacing w:after="80"/>
      </w:pPr>
      <w:r>
        <w:t xml:space="preserve">Open reusable_ml_project_notebook.ipynb in Jupyter, JupyterLab, or VS Code.</w:t>
      </w:r>
    </w:p>
    <w:p>
      <w:pPr>
        <w:pStyle w:val="ListParagraph"/>
        <w:numPr>
          <w:ilvl w:val="0"/>
          <w:numId w:val="3"/>
        </w:numPr>
        <w:spacing w:after="80"/>
      </w:pPr>
      <w:r>
        <w:t xml:space="preserve">Run the “0. Setup” cell to import the required libraries. Install any missing package with pip install &lt;package&gt; --break-system-packages (or conda install &lt;package&gt;).</w:t>
      </w:r>
    </w:p>
    <w:p>
      <w:pPr>
        <w:pStyle w:val="ListParagraph"/>
        <w:numPr>
          <w:ilvl w:val="0"/>
          <w:numId w:val="3"/>
        </w:numPr>
        <w:spacing w:after="80"/>
      </w:pPr>
      <w:r>
        <w:t xml:space="preserve">Edit the CONFIG cell:</w:t>
      </w:r>
    </w:p>
    <w:p>
      <w:pPr>
        <w:shd w:fill="F2F2F2" w:val="clear"/>
        <w:spacing w:after="120"/>
      </w:pPr>
      <w:r>
        <w:rPr>
          <w:rFonts w:ascii="Consolas" w:cs="Consolas" w:eastAsia="Consolas" w:hAnsi="Consolas"/>
          <w:sz w:val="20"/>
          <w:szCs w:val="20"/>
        </w:rPr>
        <w:t xml:space="preserve">CONFIG = {</w:t>
      </w:r>
      <w:r>
        <w:rPr>
          <w:rFonts w:ascii="Consolas" w:cs="Consolas" w:eastAsia="Consolas" w:hAnsi="Consolas"/>
          <w:sz w:val="20"/>
          <w:szCs w:val="20"/>
        </w:rPr>
        <w:br/>
        <w:t xml:space="preserve">    "task_type": "classification",   # or "regression"</w:t>
      </w:r>
      <w:r>
        <w:rPr>
          <w:rFonts w:ascii="Consolas" w:cs="Consolas" w:eastAsia="Consolas" w:hAnsi="Consolas"/>
          <w:sz w:val="20"/>
          <w:szCs w:val="20"/>
        </w:rPr>
        <w:br/>
        <w:t xml:space="preserve">    "target_column": "target",       # your label/target column name</w:t>
      </w:r>
      <w:r>
        <w:rPr>
          <w:rFonts w:ascii="Consolas" w:cs="Consolas" w:eastAsia="Consolas" w:hAnsi="Consolas"/>
          <w:sz w:val="20"/>
          <w:szCs w:val="20"/>
        </w:rPr>
        <w:br/>
        <w:t xml:space="preserve">    "test_size": 0.20,</w:t>
      </w:r>
      <w:r>
        <w:rPr>
          <w:rFonts w:ascii="Consolas" w:cs="Consolas" w:eastAsia="Consolas" w:hAnsi="Consolas"/>
          <w:sz w:val="20"/>
          <w:szCs w:val="20"/>
        </w:rPr>
        <w:br/>
        <w:t xml:space="preserve">    "val_size": 0.20,</w:t>
      </w:r>
      <w:r>
        <w:rPr>
          <w:rFonts w:ascii="Consolas" w:cs="Consolas" w:eastAsia="Consolas" w:hAnsi="Consolas"/>
          <w:sz w:val="20"/>
          <w:szCs w:val="20"/>
        </w:rPr>
        <w:br/>
        <w:t xml:space="preserve">    "cv_folds": 5,</w:t>
      </w:r>
      <w:r>
        <w:rPr>
          <w:rFonts w:ascii="Consolas" w:cs="Consolas" w:eastAsia="Consolas" w:hAnsi="Consolas"/>
          <w:sz w:val="20"/>
          <w:szCs w:val="20"/>
        </w:rPr>
        <w:br/>
        <w:t xml:space="preserve">    "use_polynomial_features": False,</w:t>
      </w:r>
      <w:r>
        <w:rPr>
          <w:rFonts w:ascii="Consolas" w:cs="Consolas" w:eastAsia="Consolas" w:hAnsi="Consolas"/>
          <w:sz w:val="20"/>
          <w:szCs w:val="20"/>
        </w:rPr>
        <w:br/>
        <w:t xml:space="preserve">    "bins": {},</w:t>
      </w:r>
      <w:r>
        <w:rPr>
          <w:rFonts w:ascii="Consolas" w:cs="Consolas" w:eastAsia="Consolas" w:hAnsi="Consolas"/>
          <w:sz w:val="20"/>
          <w:szCs w:val="20"/>
        </w:rPr>
        <w:br/>
        <w:t xml:space="preserve">}</w:t>
      </w:r>
    </w:p>
    <w:p>
      <w:pPr>
        <w:pStyle w:val="ListParagraph"/>
        <w:numPr>
          <w:ilvl w:val="0"/>
          <w:numId w:val="3"/>
        </w:numPr>
        <w:spacing w:after="80"/>
      </w:pPr>
      <w:r>
        <w:t xml:space="preserve">Replace the placeholder in “2. Load your data” with your own loading step, for example:</w:t>
      </w:r>
    </w:p>
    <w:p>
      <w:pPr>
        <w:shd w:fill="F2F2F2" w:val="clear"/>
        <w:spacing w:after="120"/>
      </w:pPr>
      <w:r>
        <w:rPr>
          <w:rFonts w:ascii="Consolas" w:cs="Consolas" w:eastAsia="Consolas" w:hAnsi="Consolas"/>
          <w:sz w:val="20"/>
          <w:szCs w:val="20"/>
        </w:rPr>
        <w:t xml:space="preserve">df = pd.read_csv("your_data.csv")</w:t>
      </w:r>
    </w:p>
    <w:p>
      <w:pPr>
        <w:spacing w:after="120"/>
      </w:pPr>
      <w:r>
        <w:t xml:space="preserve">The rest of the notebook only assumes df is a single tidy table with one row per example, one column per feature, and the target column named in CONFIG.</w:t>
      </w:r>
    </w:p>
    <w:p>
      <w:pPr>
        <w:pStyle w:val="ListParagraph"/>
        <w:numPr>
          <w:ilvl w:val="0"/>
          <w:numId w:val="3"/>
        </w:numPr>
        <w:spacing w:after="80"/>
      </w:pPr>
      <w:r>
        <w:t xml:space="preserve">Run the notebook top to bottom. Read the printed diagnostics after the baseline model (section 7) and the learning curve (section 12) — these tell you whether you are overfitting, underfitting, or in reasonable shape.</w:t>
      </w:r>
    </w:p>
    <w:p>
      <w:pPr>
        <w:pStyle w:val="ListParagraph"/>
        <w:numPr>
          <w:ilvl w:val="0"/>
          <w:numId w:val="3"/>
        </w:numPr>
        <w:spacing w:after="80"/>
      </w:pPr>
      <w:r>
        <w:t xml:space="preserve">In section 10 (“Combining models”), compare the tuned baseline against bagging and boosting on the validation set, and update the final_model variable in section 11 if an ensemble performs better.</w:t>
      </w:r>
    </w:p>
    <w:p>
      <w:pPr>
        <w:pStyle w:val="ListParagraph"/>
        <w:numPr>
          <w:ilvl w:val="0"/>
          <w:numId w:val="3"/>
        </w:numPr>
        <w:spacing w:after="80"/>
      </w:pPr>
      <w:r>
        <w:t xml:space="preserve">Run section 11 once, at the end, to get your final, honest test-set performance. Do not go back and re-tune after seeing test results — doing so turns the test set into another validation set and invalidates the estimate.</w:t>
      </w:r>
    </w:p>
    <w:p>
      <w:pPr>
        <w:pStyle w:val="ListParagraph"/>
        <w:numPr>
          <w:ilvl w:val="0"/>
          <w:numId w:val="3"/>
        </w:numPr>
        <w:spacing w:after="80"/>
      </w:pPr>
      <w:r>
        <w:t xml:space="preserve">Fill in the “Summary” cell at the bottom with your dataset, chosen model, and results, for your own records and for reproducibility.</w:t>
      </w:r>
    </w:p>
    <w:p>
      <w:pPr>
        <w:pStyle w:val="Heading1"/>
        <w:spacing w:after="140" w:before="320"/>
      </w:pPr>
      <w:r>
        <w:t xml:space="preserve">3. Constraints — When This Notebook Will NOT Be Useful</w:t>
      </w:r>
    </w:p>
    <w:p>
      <w:pPr>
        <w:spacing w:after="120"/>
      </w:pPr>
      <w:r>
        <w:t xml:space="preserve">This template makes deliberate simplifying assumptions. It is not the right tool, or needs significant modification, in the following situations: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DDEBF7" w:val="clear"/>
          </w:tcPr>
          <w:p>
            <w:r>
              <w:rPr>
                <w:b/>
                <w:bCs/>
              </w:rPr>
              <w:t xml:space="preserve">Situation</w:t>
            </w:r>
          </w:p>
        </w:tc>
        <w:tc>
          <w:tcPr>
            <w:tcW w:type="dxa" w:w="6500"/>
            <w:shd w:fill="DDEBF7" w:val="clear"/>
          </w:tcPr>
          <w:p>
            <w:r>
              <w:rPr>
                <w:b/>
                <w:bCs/>
              </w:rPr>
              <w:t xml:space="preserve">Why the template falls short</w:t>
            </w:r>
          </w:p>
        </w:tc>
      </w:tr>
      <w:tr>
        <w:tc>
          <w:tcPr>
            <w:tcW w:type="dxa" w:w="3500"/>
          </w:tcPr>
          <w:p>
            <w:r>
              <w:rPr>
                <w:b w:val="false"/>
                <w:bCs w:val="false"/>
              </w:rPr>
              <w:t xml:space="preserve">Unstructured data: images, audio, raw text, video</w:t>
            </w:r>
          </w:p>
        </w:tc>
        <w:tc>
          <w:tcPr>
            <w:tcW w:type="dxa" w:w="6500"/>
          </w:tcPr>
          <w:p>
            <w:r>
              <w:rPr>
                <w:b w:val="false"/>
                <w:bCs w:val="false"/>
              </w:rPr>
              <w:t xml:space="preserve">The pipeline assumes a tidy numeric/categorical table. Image, audio, and free text need their own feature extraction or deep learning pipelines (covered later in the source book, e.g. CNNs for images, transformers for text) before this tabular workflow applies.</w:t>
            </w:r>
          </w:p>
        </w:tc>
      </w:tr>
      <w:tr>
        <w:tc>
          <w:tcPr>
            <w:tcW w:type="dxa" w:w="3500"/>
          </w:tcPr>
          <w:p>
            <w:r>
              <w:rPr>
                <w:b w:val="false"/>
                <w:bCs w:val="false"/>
              </w:rPr>
              <w:t xml:space="preserve">Very large data (doesn't fit in memory)</w:t>
            </w:r>
          </w:p>
        </w:tc>
        <w:tc>
          <w:tcPr>
            <w:tcW w:type="dxa" w:w="6500"/>
          </w:tcPr>
          <w:p>
            <w:r>
              <w:rPr>
                <w:b w:val="false"/>
                <w:bCs w:val="false"/>
              </w:rPr>
              <w:t xml:space="preserve">pandas and scikit-learn here operate in-memory. Datasets beyond a few million rows / RAM capacity need chunked processing, out-of-core learning, or a distributed framework (Spark, Dask).</w:t>
            </w:r>
          </w:p>
        </w:tc>
      </w:tr>
      <w:tr>
        <w:tc>
          <w:tcPr>
            <w:tcW w:type="dxa" w:w="3500"/>
          </w:tcPr>
          <w:p>
            <w:r>
              <w:rPr>
                <w:b w:val="false"/>
                <w:bCs w:val="false"/>
              </w:rPr>
              <w:t xml:space="preserve">Time series / sequential or non-i.i.d. data</w:t>
            </w:r>
          </w:p>
        </w:tc>
        <w:tc>
          <w:tcPr>
            <w:tcW w:type="dxa" w:w="6500"/>
          </w:tcPr>
          <w:p>
            <w:r>
              <w:rPr>
                <w:b w:val="false"/>
                <w:bCs w:val="false"/>
              </w:rPr>
              <w:t xml:space="preserve">The random train/validation/test split assumes examples are independent. For time series, forecasting, or any data with temporal or sequential dependence, use time-based splits (train on the past, test on the future) instead — a random split will leak future information into training.</w:t>
            </w:r>
          </w:p>
        </w:tc>
      </w:tr>
      <w:tr>
        <w:tc>
          <w:tcPr>
            <w:tcW w:type="dxa" w:w="3500"/>
          </w:tcPr>
          <w:p>
            <w:r>
              <w:rPr>
                <w:b w:val="false"/>
                <w:bCs w:val="false"/>
              </w:rPr>
              <w:t xml:space="preserve">Reinforcement learning problems</w:t>
            </w:r>
          </w:p>
        </w:tc>
        <w:tc>
          <w:tcPr>
            <w:tcW w:type="dxa" w:w="6500"/>
          </w:tcPr>
          <w:p>
            <w:r>
              <w:rPr>
                <w:b w:val="false"/>
                <w:bCs w:val="false"/>
              </w:rPr>
              <w:t xml:space="preserve">This notebook only covers supervised-style tabular learning. Problems where an agent learns from environment feedback (e.g. game playing, robotics, control) need a completely different setup (an environment, reward signal, and RL algorithm).</w:t>
            </w:r>
          </w:p>
        </w:tc>
      </w:tr>
      <w:tr>
        <w:tc>
          <w:tcPr>
            <w:tcW w:type="dxa" w:w="3500"/>
          </w:tcPr>
          <w:p>
            <w:r>
              <w:rPr>
                <w:b w:val="false"/>
                <w:bCs w:val="false"/>
              </w:rPr>
              <w:t xml:space="preserve">Extremely small datasets</w:t>
            </w:r>
          </w:p>
        </w:tc>
        <w:tc>
          <w:tcPr>
            <w:tcW w:type="dxa" w:w="6500"/>
          </w:tcPr>
          <w:p>
            <w:r>
              <w:rPr>
                <w:b w:val="false"/>
                <w:bCs w:val="false"/>
              </w:rPr>
              <w:t xml:space="preserve">With only a handful of examples, splitting into train/validation/test leaves too little data to learn or evaluate reliably. Consider leave-one-out cross-validation, simpler models, or gathering more data before proceeding.</w:t>
            </w:r>
          </w:p>
        </w:tc>
      </w:tr>
      <w:tr>
        <w:tc>
          <w:tcPr>
            <w:tcW w:type="dxa" w:w="3500"/>
          </w:tcPr>
          <w:p>
            <w:r>
              <w:rPr>
                <w:b w:val="false"/>
                <w:bCs w:val="false"/>
              </w:rPr>
              <w:t xml:space="preserve">No labeled data at all, and the goal is pure exploration</w:t>
            </w:r>
          </w:p>
        </w:tc>
        <w:tc>
          <w:tcPr>
            <w:tcW w:type="dxa" w:w="6500"/>
          </w:tcPr>
          <w:p>
            <w:r>
              <w:rPr>
                <w:b w:val="false"/>
                <w:bCs w:val="false"/>
              </w:rPr>
              <w:t xml:space="preserve">If task_type is forced into classification/regression but you actually have no target column, you need unsupervised methods (clustering, dimensionality reduction, anomaly detection) instead — this template does not include an unsupervised branch.</w:t>
            </w:r>
          </w:p>
        </w:tc>
      </w:tr>
      <w:tr>
        <w:tc>
          <w:tcPr>
            <w:tcW w:type="dxa" w:w="3500"/>
          </w:tcPr>
          <w:p>
            <w:r>
              <w:rPr>
                <w:b w:val="false"/>
                <w:bCs w:val="false"/>
              </w:rPr>
              <w:t xml:space="preserve">Regulatory, fairness, or high-stakes deployment settings</w:t>
            </w:r>
          </w:p>
        </w:tc>
        <w:tc>
          <w:tcPr>
            <w:tcW w:type="dxa" w:w="6500"/>
          </w:tcPr>
          <w:p>
            <w:r>
              <w:rPr>
                <w:b w:val="false"/>
                <w:bCs w:val="false"/>
              </w:rPr>
              <w:t xml:space="preserve">The notebook does not include fairness audits, explainability, or compliance documentation. Medical, credit, hiring, or legal applications need additional governance steps beyond this template's scope.</w:t>
            </w:r>
          </w:p>
        </w:tc>
      </w:tr>
      <w:tr>
        <w:tc>
          <w:tcPr>
            <w:tcW w:type="dxa" w:w="3500"/>
          </w:tcPr>
          <w:p>
            <w:r>
              <w:rPr>
                <w:b w:val="false"/>
                <w:bCs w:val="false"/>
              </w:rPr>
              <w:t xml:space="preserve">Streaming or continuously arriving data</w:t>
            </w:r>
          </w:p>
        </w:tc>
        <w:tc>
          <w:tcPr>
            <w:tcW w:type="dxa" w:w="6500"/>
          </w:tcPr>
          <w:p>
            <w:r>
              <w:rPr>
                <w:b w:val="false"/>
                <w:bCs w:val="false"/>
              </w:rPr>
              <w:t xml:space="preserve">The pipeline trains once on a static snapshot. Problems that need online/incremental learning or drift monitoring require an architecture that retrains or updates continuously, not a single notebook run.</w:t>
            </w:r>
          </w:p>
        </w:tc>
      </w:tr>
    </w:tbl>
    <w:p>
      <w:pPr>
        <w:spacing w:after="200"/>
      </w:pPr>
    </w:p>
    <w:p>
      <w:pPr>
        <w:pStyle w:val="Heading1"/>
        <w:spacing w:after="140" w:before="320"/>
      </w:pPr>
      <w:r>
        <w:t xml:space="preserve">4. Case Studies — Where the Methodology Applies Well</w:t>
      </w:r>
    </w:p>
    <w:p>
      <w:pPr>
        <w:spacing w:after="120"/>
      </w:pPr>
      <w:r>
        <w:t xml:space="preserve">The following scenarios (several adapted directly from examples in Chapter 1) are a good fit for this notebook and the underlying methodology.</w:t>
      </w:r>
    </w:p>
    <w:p>
      <w:pPr>
        <w:pStyle w:val="Heading2"/>
        <w:spacing w:after="100" w:before="220"/>
      </w:pPr>
      <w:r>
        <w:t xml:space="preserve">Case Study A: Movie Recommendation / Content Rating Prediction</w:t>
      </w:r>
    </w:p>
    <w:p>
      <w:pPr>
        <w:spacing w:after="120"/>
      </w:pPr>
      <w:r>
        <w:t xml:space="preserve">Predicting whether a user will like a movie based on their past ratings and movie attributes is a supervised classification problem on tabular data — exactly what this notebook targets. Set task_type to "classification", load a user-movie feature table, and use one-hot encoding for categorical attributes such as genre.</w:t>
      </w:r>
    </w:p>
    <w:p>
      <w:pPr>
        <w:pStyle w:val="Heading2"/>
        <w:spacing w:after="100" w:before="220"/>
      </w:pPr>
      <w:r>
        <w:t xml:space="preserve">Case Study B: Online Ad Click-Through Prediction</w:t>
      </w:r>
    </w:p>
    <w:p>
      <w:pPr>
        <w:spacing w:after="120"/>
      </w:pPr>
      <w:r>
        <w:t xml:space="preserve">Predicting whether a user will click an ad from features like device type, time of day, and ad category is a binary classification problem with mostly categorical features — a strong match for the preprocessing (one-hot encoding) and regularization sections of this notebook.</w:t>
      </w:r>
    </w:p>
    <w:p>
      <w:pPr>
        <w:pStyle w:val="Heading2"/>
        <w:spacing w:after="100" w:before="220"/>
      </w:pPr>
      <w:r>
        <w:t xml:space="preserve">Case Study C: House Price / Stock Price Prediction</w:t>
      </w:r>
    </w:p>
    <w:p>
      <w:pPr>
        <w:spacing w:after="120"/>
      </w:pPr>
      <w:r>
        <w:t xml:space="preserve">Predicting a continuous value such as a house price from structured features (size, location, number of rooms) is a regression problem. Set task_type to "regression"; the notebook will switch to Ridge regression, MSE/R² metrics, and regression ensembles automatically. Note: for stock price prediction specifically, be cautious of the random-split limitation described in Section 3 — use a time-based split instead of the default random split, since financial time series is sequential.</w:t>
      </w:r>
    </w:p>
    <w:p>
      <w:pPr>
        <w:pStyle w:val="Heading2"/>
        <w:spacing w:after="100" w:before="220"/>
      </w:pPr>
      <w:r>
        <w:t xml:space="preserve">Case Study D: Credit Card Fraud or Loan Default Detection</w:t>
      </w:r>
    </w:p>
    <w:p>
      <w:pPr>
        <w:spacing w:after="120"/>
      </w:pPr>
      <w:r>
        <w:t xml:space="preserve">Structured, labeled transaction or applicant data with a binary outcome (fraud/not fraud, default/no default) fits the classification pipeline well. Because such datasets are often imbalanced, pay special attention to the weighted F1 score already reported by the notebook, and consider boosting (section 10), which naturally up-weights hard-to-classify examples.</w:t>
      </w:r>
    </w:p>
    <w:p>
      <w:pPr>
        <w:pStyle w:val="Heading2"/>
        <w:spacing w:after="100" w:before="220"/>
      </w:pPr>
      <w:r>
        <w:t xml:space="preserve">Case Study E: Customer Churn or Marketing Response Prediction</w:t>
      </w:r>
    </w:p>
    <w:p>
      <w:pPr>
        <w:spacing w:after="120"/>
      </w:pPr>
      <w:r>
        <w:t xml:space="preserve">Predicting which customers are likely to churn or respond to a campaign, based on demographic and behavioral features, is a classic tabular classification task where missing-value imputation, one-hot encoding, and cross-validated regularization (all included here) are typically sufficient without deep learning.</w:t>
      </w:r>
    </w:p>
    <w:p>
      <w:pPr>
        <w:pStyle w:val="Heading2"/>
        <w:spacing w:after="100" w:before="220"/>
      </w:pPr>
      <w:r>
        <w:t xml:space="preserve">Case Study F: Diagnostic / Screening Score from Structured Measurements</w:t>
      </w:r>
    </w:p>
    <w:p>
      <w:pPr>
        <w:spacing w:after="120"/>
      </w:pPr>
      <w:r>
        <w:t xml:space="preserve">Chapter 1 references studies where machine learning models diagnose certain conditions from structured measurements as well as, or better than, human experts. Where the input is a table of measurements (not raw medical images), this notebook's pipeline — baseline model, cross-validation, regularization, and ensembling — is directly applicable. Any real diagnostic deployment would still need the governance safeguards noted in Section 3.</w:t>
      </w:r>
    </w:p>
    <w:p>
      <w:pPr>
        <w:pStyle w:val="Heading1"/>
        <w:spacing w:after="140" w:before="320"/>
      </w:pPr>
      <w:r>
        <w:t xml:space="preserve">5. Quick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DDEBF7" w:val="clear"/>
          </w:tcPr>
          <w:p>
            <w:r>
              <w:rPr>
                <w:b/>
                <w:bCs/>
              </w:rPr>
              <w:t xml:space="preserve">You want to…</w:t>
            </w:r>
          </w:p>
        </w:tc>
        <w:tc>
          <w:tcPr>
            <w:tcW w:type="dxa" w:w="6500"/>
            <w:shd w:fill="DDEBF7" w:val="clear"/>
          </w:tcPr>
          <w:p>
            <w:r>
              <w:rPr>
                <w:b/>
                <w:bCs/>
              </w:rPr>
              <w:t xml:space="preserve">Do this</w:t>
            </w:r>
          </w:p>
        </w:tc>
      </w:tr>
      <w:tr>
        <w:tc>
          <w:tcPr>
            <w:tcW w:type="dxa" w:w="3500"/>
          </w:tcPr>
          <w:p>
            <w:r>
              <w:rPr>
                <w:b w:val="false"/>
                <w:bCs w:val="false"/>
              </w:rPr>
              <w:t xml:space="preserve">Switch between classification and regression</w:t>
            </w:r>
          </w:p>
        </w:tc>
        <w:tc>
          <w:tcPr>
            <w:tcW w:type="dxa" w:w="6500"/>
          </w:tcPr>
          <w:p>
            <w:r>
              <w:rPr>
                <w:b w:val="false"/>
                <w:bCs w:val="false"/>
              </w:rPr>
              <w:t xml:space="preserve">Change CONFIG["task_type"]</w:t>
            </w:r>
          </w:p>
        </w:tc>
      </w:tr>
      <w:tr>
        <w:tc>
          <w:tcPr>
            <w:tcW w:type="dxa" w:w="3500"/>
          </w:tcPr>
          <w:p>
            <w:r>
              <w:rPr>
                <w:b w:val="false"/>
                <w:bCs w:val="false"/>
              </w:rPr>
              <w:t xml:space="preserve">Point the notebook at your own data</w:t>
            </w:r>
          </w:p>
        </w:tc>
        <w:tc>
          <w:tcPr>
            <w:tcW w:type="dxa" w:w="6500"/>
          </w:tcPr>
          <w:p>
            <w:r>
              <w:rPr>
                <w:b w:val="false"/>
                <w:bCs w:val="false"/>
              </w:rPr>
              <w:t xml:space="preserve">Edit the “Load your data” cell to read your file/source into df</w:t>
            </w:r>
          </w:p>
        </w:tc>
      </w:tr>
      <w:tr>
        <w:tc>
          <w:tcPr>
            <w:tcW w:type="dxa" w:w="3500"/>
          </w:tcPr>
          <w:p>
            <w:r>
              <w:rPr>
                <w:b w:val="false"/>
                <w:bCs w:val="false"/>
              </w:rPr>
              <w:t xml:space="preserve">Try interaction/polynomial features</w:t>
            </w:r>
          </w:p>
        </w:tc>
        <w:tc>
          <w:tcPr>
            <w:tcW w:type="dxa" w:w="6500"/>
          </w:tcPr>
          <w:p>
            <w:r>
              <w:rPr>
                <w:b w:val="false"/>
                <w:bCs w:val="false"/>
              </w:rPr>
              <w:t xml:space="preserve">Set CONFIG["use_polynomial_features"] = True</w:t>
            </w:r>
          </w:p>
        </w:tc>
      </w:tr>
      <w:tr>
        <w:tc>
          <w:tcPr>
            <w:tcW w:type="dxa" w:w="3500"/>
          </w:tcPr>
          <w:p>
            <w:r>
              <w:rPr>
                <w:b w:val="false"/>
                <w:bCs w:val="false"/>
              </w:rPr>
              <w:t xml:space="preserve">Bin a continuous column manually</w:t>
            </w:r>
          </w:p>
        </w:tc>
        <w:tc>
          <w:tcPr>
            <w:tcW w:type="dxa" w:w="6500"/>
          </w:tcPr>
          <w:p>
            <w:r>
              <w:rPr>
                <w:b w:val="false"/>
                <w:bCs w:val="false"/>
              </w:rPr>
              <w:t xml:space="preserve">Add it to CONFIG["bins"], e.g. {"age": [0, 18, 35, 60, 120]}</w:t>
            </w:r>
          </w:p>
        </w:tc>
      </w:tr>
      <w:tr>
        <w:tc>
          <w:tcPr>
            <w:tcW w:type="dxa" w:w="3500"/>
          </w:tcPr>
          <w:p>
            <w:r>
              <w:rPr>
                <w:b w:val="false"/>
                <w:bCs w:val="false"/>
              </w:rPr>
              <w:t xml:space="preserve">Change the train/validation/test proportions</w:t>
            </w:r>
          </w:p>
        </w:tc>
        <w:tc>
          <w:tcPr>
            <w:tcW w:type="dxa" w:w="6500"/>
          </w:tcPr>
          <w:p>
            <w:r>
              <w:rPr>
                <w:b w:val="false"/>
                <w:bCs w:val="false"/>
              </w:rPr>
              <w:t xml:space="preserve">Edit CONFIG["test_size"] and CONFIG["val_size"]</w:t>
            </w:r>
          </w:p>
        </w:tc>
      </w:tr>
      <w:tr>
        <w:tc>
          <w:tcPr>
            <w:tcW w:type="dxa" w:w="3500"/>
          </w:tcPr>
          <w:p>
            <w:r>
              <w:rPr>
                <w:b w:val="false"/>
                <w:bCs w:val="false"/>
              </w:rPr>
              <w:t xml:space="preserve">Change the number of cross-validation folds</w:t>
            </w:r>
          </w:p>
        </w:tc>
        <w:tc>
          <w:tcPr>
            <w:tcW w:type="dxa" w:w="6500"/>
          </w:tcPr>
          <w:p>
            <w:r>
              <w:rPr>
                <w:b w:val="false"/>
                <w:bCs w:val="false"/>
              </w:rPr>
              <w:t xml:space="preserve">Edit CONFIG["cv_folds"] (common choices: 3, 5, 10)</w:t>
            </w:r>
          </w:p>
        </w:tc>
      </w:tr>
      <w:tr>
        <w:tc>
          <w:tcPr>
            <w:tcW w:type="dxa" w:w="3500"/>
          </w:tcPr>
          <w:p>
            <w:r>
              <w:rPr>
                <w:b w:val="false"/>
                <w:bCs w:val="false"/>
              </w:rPr>
              <w:t xml:space="preserve">Use a different baseline algorithm</w:t>
            </w:r>
          </w:p>
        </w:tc>
        <w:tc>
          <w:tcPr>
            <w:tcW w:type="dxa" w:w="6500"/>
          </w:tcPr>
          <w:p>
            <w:r>
              <w:rPr>
                <w:b w:val="false"/>
                <w:bCs w:val="false"/>
              </w:rPr>
              <w:t xml:space="preserve">Replace LogisticRegression/Ridge in Section 7 with another scikit-learn estimator</w:t>
            </w:r>
          </w:p>
        </w:tc>
      </w:tr>
      <w:tr>
        <w:tc>
          <w:tcPr>
            <w:tcW w:type="dxa" w:w="3500"/>
          </w:tcPr>
          <w:p>
            <w:r>
              <w:rPr>
                <w:b w:val="false"/>
                <w:bCs w:val="false"/>
              </w:rPr>
              <w:t xml:space="preserve">Report final results</w:t>
            </w:r>
          </w:p>
        </w:tc>
        <w:tc>
          <w:tcPr>
            <w:tcW w:type="dxa" w:w="6500"/>
          </w:tcPr>
          <w:p>
            <w:r>
              <w:rPr>
                <w:b w:val="false"/>
                <w:bCs w:val="false"/>
              </w:rPr>
              <w:t xml:space="preserve">Run Section 11 exactly once, then fill in the Summary cell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2026-08-18T06:07:23.878Z</dcterms:created>
  <dcterms:modified xsi:type="dcterms:W3CDTF">2026-08-18T06:07:23.878Z</dcterms:modified>
</cp:coreProperties>
</file>

<file path=docProps/custom.xml><?xml version="1.0" encoding="utf-8"?>
<Properties xmlns="http://schemas.openxmlformats.org/officeDocument/2006/custom-properties" xmlns:vt="http://schemas.openxmlformats.org/officeDocument/2006/docPropsVTypes"/>
</file>