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FoodMkt_R — Strategy Guide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When to reuse this food-industry pack, when not to, and how to swap the snapshot.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What this pattern is good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CPG / restaurant / agri / grocery peer screens that arrive as wide decorated CSVs.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Teaching melt/dcast on aisle-level groups.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Teaching outlier-aware EDA before a “confectionery average” slide goes to a category meeting.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Internal supplier scorecards that need the same reshape + flags (swap Price for unit cost).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When not to use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need a cocoa or cattle forecast, a DCF, or a live execution 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universe is one private brand with no public comps.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are awarding a procurement contract — this index is not a bid model.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Recommended / not 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FoodMkt_R?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CPG peer screen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Flags + knobs re-run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Restaurant SSS dashboard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SSS is extra practice, not the core index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commodity hedge book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futures, no basis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Private-label bid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 cost-to-serve model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Teaching tidy reshape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pipeline as StockMkt_R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How to swap the snapshot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 FoodMkt_R_Reusable_Template.ipynb. Point snap_path at the new extract. Reset outlier_ticker (new luxury listing or dual-class share). Re-tune idx_cut. Decide whether Food Cost % joins the flags. Write the four audience paragraphs before mailing category managers.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</w:rPr>
        <w:t xml:space="preserve">Good-fit vs limitations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Good fit when the goal is the data-science pipeline on food-shaped peers. Limitation when someone hears “undervalued” and funds it, or hears “cheap aisle” and changes the planogram. Say the limitation in the first paragraph of every executive note.</w:t>
      </w:r>
    </w:p>
    <w:p>
      <w:pPr>
        <w:spacing w:after="60" w:before="60"/>
        <w:jc w:val="center"/>
      </w:pPr>
      <w:r>
        <w:drawing>
          <wp:inline distT="0" distB="0" distL="0" distR="0">
            <wp:extent cx="5143500" cy="3305175"/>
            <wp:effectExtent t="0" r="0" b="0" l="0"/>
            <wp:docPr id="1" name="foodmkt_r_flowchart.png" descr="foodmkt_r_flowchart.png" title="foodmkt_r_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0b3687760a8d9597296d3e80553d1f6d6054e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2026-08-29T16:19:08.615Z</dcterms:created>
  <dcterms:modified xsi:type="dcterms:W3CDTF">2026-08-29T16:19:08.615Z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