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8"/>
          <w:szCs w:val="28"/>
        </w:rPr>
        <w:t xml:space="preserve">Food-Industry Relative Valuation (R)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CPG / restaurant / agri snapshot → clean numerics → GODIVA outlier → 10-flag peer index → screen → 50/200-day MAs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cross-section of packaged-food, beverage, restaurant, grocery, protein, dairy, agribusiness and ingredients names arrives as a messy CSV (%, $, commas). The analyst must decide which food companies look cheap versus aisle-level peers, without treating a Swiss luxury-chocolate listing as “the confectionery market.” Live vendor URLs do not make a reproducible lab.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Bundle data/foodviz.csv (~970 names) and data/food_historical_prices.csv.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clean_numeric via gsub; apply after the six identifiers; make.names.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Histogram raw vs Price&lt;$150; sector bars; drill Confectionery → Luxury Chocolate → GODIVA ($18,750); drop and re-average.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melt → mean → dcast sector and industry Price/PE/PEG/PS/PB; ten below-average flags; RelValIndex 0–10.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 screen + food-cost knob + zoo rollmean overlays on HSY/GIS/TSN/ADM/MCD/SBUX.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Solution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Confectionery mean price is ~$339 with GODIVA and falls into the same mid-double-digit band as other food aisles once the luxury listing is removed. Most names cluster under $50 after capping the histogram. RelValIndex is a teaching count; raising the cutoff from 6 to 10 shrinks the passer list sharply. Extra food levers — Gross Margin and Food Cost % — belong in practice and simulation, not as silent substitutes for P/E.</w:t>
      </w:r>
    </w:p>
    <w:p>
      <w:pPr>
        <w:spacing w:after="60" w:before="60"/>
        <w:jc w:val="center"/>
      </w:pPr>
      <w:r>
        <w:drawing>
          <wp:inline distT="0" distB="0" distL="0" distR="0">
            <wp:extent cx="3048000" cy="1590675"/>
            <wp:effectExtent t="0" r="0" b="0" l="0"/>
            <wp:docPr id="1" name="foodmkt_sector_avg_with_godiva.png" descr="foodmkt_sector_avg_with_godiva.png" title="foodmkt_sector_avg_with_godi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2571750" cy="1428750"/>
            <wp:effectExtent t="0" r="0" b="0" l="0"/>
            <wp:docPr id="1" name="foodmkt_simulation_threshold.png" descr="foodmkt_simulation_threshold.png" title="foodmkt_simulation_thresh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Aisle-level means lie when one luxury or dual-class name sits in the average.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Relative value compares cereal to cereal, not a farm to a cocoa DCF.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Food Cost % and SSS are useful extras; they do not replace the 10-flag core.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Screens shrink the list. MAs describe 2011–12 input-cost paths of survivors.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Rewrite for CPG quant, category screener, CFO, and shopper before circulating.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Arial" w:cs="Arial" w:eastAsia="Arial" w:hAnsi="Arial"/>
        <w:b w:val="false"/>
        <w:bCs w:val="false"/>
        <w:i/>
        <w:iCs/>
        <w:color w:val="666666"/>
        <w:sz w:val="14"/>
        <w:szCs w:val="14"/>
      </w:rPr>
      <w:t xml:space="preserve">Teaching pipeline only — not investment advice and not a procurement award.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i w:val="false"/>
        <w:iCs w:val="false"/>
        <w:color w:val="1B5E20"/>
        <w:sz w:val="16"/>
        <w:szCs w:val="16"/>
      </w:rPr>
      <w:t xml:space="preserve">FoodMkt_R  ·  1-Page Summary Report  ·  Food adaptation of Cookbook Ch.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eaa896566f61cf2d484540e44ec174e637c0ae.png"/><Relationship Id="rId10" Type="http://schemas.openxmlformats.org/officeDocument/2006/relationships/image" Target="media/ac89cab6ed24caeaf508a81e75bad964b70d433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2026-08-29T16:19:08.592Z</dcterms:created>
  <dcterms:modified xsi:type="dcterms:W3CDTF">2026-08-29T16:19:08.592Z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