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Modeling Stock Market Data (R)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Finviz-style snapshot → clean numerics → outlier EDA → 10-flag relative value → screen → 50/200-day MAs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 cross-section of listed names arrives as a messy CSV (%, $, commas). The analyst must decide which names look cheap versus their sector and industry neighbors, then inspect the price path of a short list — without treating a mean warped by one Class-A share as “the market.” Live Finviz and 2014 Yahoo ichart URLs from the book no longer make a reproducible lab.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Bundle data/finviz.csv (1,101 names) and data/historical_prices.csv; keep the book export URL as a comment.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clean_numeric via gsub; apply to every field after the six identifiers.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Histogram raw vs Price&lt;150; sector bars; drill Financial → P&amp;C → BRK-A ($172,450); drop it and re-average.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melt → mean → dcast sector and industry Price/PE/PEG/PS/PB; ten below-average flags; RelValIndex 0–10.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Hard screen (USA, $20–100, volume, +EPS, D/E&lt;1, β&lt;1.5, inst&lt;30, index≥8) + zoo rollmean overlays.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Solution</w:t>
      </w:r>
    </w:p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Financial-sector mean price is ~$665 with BRK-A and falls into the same $25–55 band as other sectors once the Class-A share is removed. Most names cluster under $50 after capping the histogram. RelValIndex is a teaching count, not a factor model; raising the cutoff from 6 to 10 shrinks the passer list sharply (see sweep chart). Bundled histories cover eight chemical / materials names with 50- and 200-day MAs.</w:t>
      </w:r>
    </w:p>
    <w:p>
      <w:pPr>
        <w:spacing w:after="60" w:before="60"/>
        <w:jc w:val="center"/>
      </w:pPr>
      <w:r>
        <w:drawing>
          <wp:inline distT="0" distB="0" distL="0" distR="0">
            <wp:extent cx="2952750" cy="1514475"/>
            <wp:effectExtent t="0" r="0" b="0" l="0"/>
            <wp:docPr id="1" name="stockmkt_sector_avg_with_brk.png" descr="stockmkt_sector_avg_with_brk.png" title="stockmkt_sector_avg_with_b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2667000" cy="1485900"/>
            <wp:effectExtent t="0" r="0" b="0" l="0"/>
            <wp:docPr id="1" name="stockmkt_simulation_threshold.png" descr="stockmkt_simulation_threshold.png" title="stockmkt_simulation_thresh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Code the download after the first click-export; vendor URLs rot.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Means without an outlier check lie. Always plot the raw histogram.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Relative value compares neighbors; it is not a DCF and RelValIndex≥8 is not alpha.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Screens exist to shrink the list. MAs describe path and volatility of survivors.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Rewrite the same finding for quant, screener operator, CIO, and retail reader.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Arial" w:cs="Arial" w:eastAsia="Arial" w:hAnsi="Arial"/>
        <w:b w:val="false"/>
        <w:bCs w:val="false"/>
        <w:i/>
        <w:iCs/>
        <w:color w:val="666666"/>
        <w:sz w:val="14"/>
        <w:szCs w:val="14"/>
      </w:rPr>
      <w:t xml:space="preserve">Teaching pipeline only — not investment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i w:val="false"/>
        <w:iCs w:val="false"/>
        <w:color w:val="1F4E79"/>
        <w:sz w:val="16"/>
        <w:szCs w:val="16"/>
      </w:rPr>
      <w:t xml:space="preserve">StockMkt_R  ·  1-Page Summary Report  ·  Packt Cookbook Ch.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27b3f2944099d70931a571a056fc6f6ebb9cea.png"/><Relationship Id="rId10" Type="http://schemas.openxmlformats.org/officeDocument/2006/relationships/image" Target="media/45ea48e11d80588562602934a112150b67114a6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2026-08-29T07:40:36.475Z</dcterms:created>
  <dcterms:modified xsi:type="dcterms:W3CDTF">2026-08-29T07:40:36.475Z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