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18"/>
          <w:szCs w:val="18"/>
        </w:rPr>
        <w:t xml:space="preserve">PROJECT MEMO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8"/>
          <w:szCs w:val="28"/>
        </w:rPr>
        <w:t xml:space="preserve">StockMkt_R — audience-adapted notes for the Cookbook Ch. 4 lab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To: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Research / PM / Investment Committee / Education desk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From: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Analytics teaching pack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Re: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How to talk about a relative-value screen without overselling it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Disclaimer: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Not investment advice. Not a model for live capital.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</w:rPr>
        <w:t xml:space="preserve">Why four versions of the same finding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McMurrey’s technical-writing split (expert / technician / executive / nonspecialist) and Jočys’s data-literacy + subject-knowledge checklist are both attached to this pack. Market data triggers both axes at once: a CIO can be a subject expert and still low on statistical literacy; a quant can be the reverse. Write the finding four times before the list leaves the lab.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</w:rPr>
        <w:t xml:space="preserve">The finding, one sentence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 single Class-A price pulled Financial-sector mean price out of line; after dropping it, a ten-flag neighbor comparison plus a conservative quality screen left a short US list whose paths can be drawn with 50- and 200-day averages.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</w:rPr>
        <w:t xml:space="preserve">1. Expert / quant (high data literacy, high subject knowledge)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Lead with the estimator. RelValIndex is an unweighted Hamming score on {Price, P/E, PEG, P/S, P/B} × {sector mean, industry mean}. Means are not robust; the BRK-A bar is the robustness demo. Industry merge drops incomplete comps (selection). Binary flags discard magnitude. Historical MA overlays are descriptive and in-sample. Do not present RelValIndex ≥ 8 as expected residual return. Suggested next step: winsorize, switch to medians, or replace flags with z-scores.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</w:rPr>
        <w:t xml:space="preserve">2. Technician / screener operator (practical knowledge)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Give the recipe, the column names after make.names, and the file paths. Pipeline: read data/finviz.csv → clean_numeric → drop BRK-A → melt/dcast averages → ten flags → rowSums → subset. If Monday’s vendor file has a new column, stop using 7:68. Re-run the simulation cell before mailing the list so n_pass is still usable. Histories are in data/historical_prices.csv; zoo::rollmean align='right'.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</w:rPr>
        <w:t xml:space="preserve">3. Executive / CIO (decides, does not want the melt)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Headline first: Financials looked expensive because one name trades above $170,000 a share. After that name is set aside, sector average prices sit in a tight band. We then kept only mid-priced US names with positive earnings, debt below equity, and more than half of ten neighbor checks flashing “below average.” That list is a conversation starter. It is not a portfolio, a target price, or a timing signal. Moving-average charts show how choppy the survivors were — they do not forecast next quarter.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</w:rPr>
        <w:t xml:space="preserve">4. Nonspecialist / retail reader (low jargon)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We compared each company’s price tag to other companies in the same line of work, threw out one extreme price that was warping the average, and kept a short US list in a mid price range with manageable debt. Then we drew how those prices moved over a few years. That is a screening story, not a promise and not a recommendation to buy anything.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</w:rPr>
        <w:t xml:space="preserve">Situation notes (McMurrey)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Mixed audience is the default for this memo. Headings let each reader skip.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Do not explain EBITDA to the expert section; do explain RelValIndex in the retail section.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Finance readers will spot a sloppy axis. Label units and the BRK-A drop explicitly.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International readers: dates in the history file are ISO; prices are USD.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</w:rPr>
        <w:t xml:space="preserve">What this pack will not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Intrinsic valuation / DCF / residual-income models.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Transaction-cost, tax, or capacity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Live broker routing. The 2014 Yahoo ichart URL is documented as historical only.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2026-08-29T07:40:36.487Z</dcterms:created>
  <dcterms:modified xsi:type="dcterms:W3CDTF">2026-08-29T07:40:36.487Z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