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Memo — Bayesian Hypothesis Testing Approaches</w:t>
      </w:r>
    </w:p>
    <w:p>
      <w:r>
        <w:t>To: Familiar Product, Marketing &amp; Executive Leadership</w:t>
      </w:r>
    </w:p>
    <w:p>
      <w:r>
        <w:t>From: Data Analysis Team</w:t>
      </w:r>
    </w:p>
    <w:p>
      <w:r>
        <w:t>Re: Bayesian re-analysis of Vein / Artery Pack lifespan data</w:t>
      </w:r>
    </w:p>
    <w:p>
      <w:r>
        <w:t>Date: August 2026</w:t>
      </w:r>
    </w:p>
    <w:p>
      <w:pPr>
        <w:pStyle w:val="Heading1"/>
      </w:pPr>
      <w:r>
        <w:t>Purpose</w:t>
      </w:r>
    </w:p>
    <w:p>
      <w:r>
        <w:t>This memo supplies the Bayesian counterparts to the classical hypothesis tests already delivered. It follows the audience-analysis principles in the supplied PDFs (data literacy, subject knowledge, needs &amp; interests, mixed audiences) by giving three layered messages.</w:t>
      </w:r>
    </w:p>
    <w:p>
      <w:pPr>
        <w:pStyle w:val="Heading1"/>
      </w:pPr>
      <w:r>
        <w:t>1. Executive (≤ 30 seconds)</w:t>
      </w:r>
    </w:p>
    <w:p>
      <w:r>
        <w:t>We are virtually certain the Vein Pack extends life beyond the 71-year population average. There is a 97 % probability that Vein also outperforms Artery; the remaining uncertainty is small enough that a modest increase in sample size would resolve it.</w:t>
      </w:r>
    </w:p>
    <w:p>
      <w:pPr>
        <w:pStyle w:val="Heading1"/>
      </w:pPr>
      <w:r>
        <w:t>2. Product &amp; Marketing</w:t>
      </w:r>
    </w:p>
    <w:p>
      <w:r>
        <w:t>• Safe external claim: “Vein Pack subscribers live longer than the general population (posterior probability ≈ 100 %).”</w:t>
        <w:br/>
        <w:t>• Cautious external claim on pack comparison: “Current evidence gives a 97 % probability that Vein is the longer-lived option; we recommend waiting for a few more observations before stronger superiority language.”</w:t>
        <w:br/>
        <w:t>• Internal action: the ROPE analysis already favours Vein for any practical difference larger than half a year; plan the next cohort size using the simulation notebook so that a 0.95 decision threshold is reached with high reliability.</w:t>
      </w:r>
    </w:p>
    <w:p>
      <w:pPr>
        <w:pStyle w:val="Heading1"/>
      </w:pPr>
      <w:r>
        <w:t>3. Technical / Statistical Reviewers</w:t>
      </w:r>
    </w:p>
    <w:p>
      <w:r>
        <w:t>Flat-prior Student-t posterior for the mean:</w:t>
        <w:br/>
        <w:t>P(μ_Vein &gt; 71 | data) ≈ 1.000</w:t>
        <w:br/>
        <w:t>P(μ_Vein &gt; μ_Artery | data) ≈ 0.968</w:t>
        <w:br/>
        <w:t>Vein 95 % HDI [75.25, 77.06]; difference 95 % HDI roughly [−0.08, 2.66]</w:t>
        <w:br/>
        <w:t>ROPE ±0.5 yr: P(above ROPE) dominates.</w:t>
        <w:br/>
        <w:t>Prior-sensitivity and sample-size simulations are fully reproducible in the Solution notebook; Beta-Binomial A/B illustration and bootstrap posterior are supplied as alternate implementations.</w:t>
      </w:r>
    </w:p>
    <w:p>
      <w:pPr>
        <w:pStyle w:val="Heading1"/>
      </w:pPr>
      <w:r>
        <w:t>Why Bayesian language helps</w:t>
      </w:r>
    </w:p>
    <w:p>
      <w:r>
        <w:t>The supplied audience PDFs stress that non-specialists struggle with p-values and “fail to reject”. Posterior probabilities map directly onto everyday decision language and therefore reduce the translation burden while still giving technical readers the complete distributional information they require.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