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KNN for Economics Science</w:t>
      </w:r>
    </w:p>
    <w:p>
      <w:pPr>
        <w:spacing w:after="10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6"/>
          <w:szCs w:val="16"/>
        </w:rPr>
        <w:t xml:space="preserve">Country growth clubs (from-scratch) + recession screen (sklearn)  ·  short name KNN_Econ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Problem Statement</w:t>
      </w:r>
    </w:p>
    <w:p>
      <w:pPr>
        <w:spacing w:after="8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 new country or a new quarter arrives with a stack of indicators and no regime label. K-Nearest Neighbors asks which labeled peers sit closest in indicator space and what those peers voted. Two traps block a naive vote. (1) Units differ: 40-point inflation dwarfs a 4-point investment/GDP gap. (2) k is a bias–variance knob: k = 1 copies one crisis quarter; huge k copies the sample expansion rate. The project votes by hand on 40 countries, then scores 569 quarters × 16 CLI-style series (212 recessions / 357 expansions) while k, scaling, label noise, n, and junk series change.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Solution Strategy</w:t>
      </w:r>
    </w:p>
    <w:p>
      <w:pPr>
        <w:spacing w:after="8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Euclidean distance in n-D (Manhattan alternate). Min-max each column on the training fold only. Take the k nearest peers; majority wins (odd k avoids ties). Same pipeline via KNeighborsClassifier. Stratified 80/20, seed 100. Sweep k = 1…50. A Phillips-style inflation–Δu plane shows the jagged k = 1 vs smooth k = 21 boundary. A current-account table is extra practice. Simulation knobs: k, flipped recession dates, training fraction, padded noise series. Four audience rewrites in the memo.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Korea vs Ireland (2-D)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 ≈ 7.52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Closer than Argentina (π + I/Y)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Recession split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455 / 114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test_size=0.2, seed=100, stratified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 = 3 unscaled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0.754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Wide-range series dominate distance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 = 3 min-max scaled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0.947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Every indicator contributes fairly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scaled k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 = 3 → 0.947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114 hold-out quarters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+80 noise series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~0.85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Curse of dimensionality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Naive expansion floor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0.627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Always call the majority class</w:t>
            </w:r>
          </w:p>
        </w:tc>
      </w:tr>
    </w:tbl>
    <w:p>
      <w:pPr>
        <w:spacing w:after="2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6"/>
          <w:szCs w:val="16"/>
        </w:rPr>
        <w:t xml:space="preserve">Validation accuracy vs k (scaled vs raw). Companion panel: knn_econ_simulation.png.</w:t>
      </w:r>
    </w:p>
    <w:p>
      <w:pPr>
        <w:spacing w:after="40" w:before="40"/>
        <w:jc w:val="center"/>
      </w:pPr>
      <w:r>
        <w:drawing>
          <wp:inline distT="0" distB="0" distL="0" distR="0">
            <wp:extent cx="3810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Closeness is a distance over all indicators — not “the most important series.”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Normalize first. Unscaled inflation or equity returns will own the peer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Small k overfits one crisis; large k underfits toward the expansion base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Odd k removes 2–2 ties. sklearn.predict takes new quarters, not the training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KNN is a nowcast screen, not a structural model and not the dating committee.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Junk series make every quarter look equally far. Prune before you vote.</w:t>
      </w:r>
    </w:p>
    <w:sectPr>
      <w:headerReference w:type="default" r:id="rId7"/>
      <w:footerReference w:type="default" r:id="rId8"/>
      <w:pgSz w:w="12240" w:h="15840" w:orient="portrait"/>
      <w:pgMar w:top="72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KNN_Econ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KNN_Econ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f67184962c9a9c2ceacbe0be101283d59d73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2026-08-28T01:11:02.631Z</dcterms:created>
  <dcterms:modified xsi:type="dcterms:W3CDTF">2026-08-28T01:11:02.632Z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