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5276"/>
          <w:sz w:val="30"/>
          <w:szCs w:val="30"/>
        </w:rPr>
        <w:t xml:space="preserve">Project memo: who this KNN result is for</w:t>
      </w:r>
    </w:p>
    <w:p>
      <w:pPr>
        <w:spacing w:after="80" w:before="0" w:line="240"/>
        <w:jc w:val="left"/>
      </w:pPr>
      <w:r>
        <w:rPr>
          <w:rFonts w:ascii="Arial" w:cs="Arial" w:eastAsia="Arial" w:hAnsi="Arial"/>
          <w:b w:val="false"/>
          <w:bCs w:val="false"/>
          <w:i w:val="false"/>
          <w:iCs w:val="false"/>
          <w:color w:val="5D6D7E"/>
          <w:sz w:val="18"/>
          <w:szCs w:val="18"/>
        </w:rPr>
        <w:t xml:space="preserve">Audience adaptation for the recession / growth-club screen  ·  short name KNN_Econ</w:t>
      </w:r>
    </w:p>
    <w:p>
      <w:pPr>
        <w:spacing w:after="80" w:before="0" w:line="240"/>
        <w:jc w:val="left"/>
      </w:pPr>
      <w:r>
        <w:rPr>
          <w:rFonts w:ascii="Arial" w:cs="Arial" w:eastAsia="Arial" w:hAnsi="Arial"/>
          <w:b w:val="false"/>
          <w:bCs w:val="false"/>
          <w:i w:val="false"/>
          <w:iCs w:val="false"/>
          <w:color w:val="2C3E50"/>
          <w:sz w:val="20"/>
          <w:szCs w:val="20"/>
        </w:rPr>
        <w:t xml:space="preserve">Sources in spirit: Jočys audience checklist; McMurrey expert / technician / executive / nonspecialist; data-analysis report structure (skim for the minister, body for the desk, appendix for code).</w:t>
      </w:r>
    </w:p>
    <w:p>
      <w:pPr>
        <w:pStyle w:val="Heading1"/>
        <w:pBdr>
          <w:bottom w:val="single" w:color="1A5276" w:sz="8" w:space="4"/>
        </w:pBdr>
        <w:spacing w:after="60" w:before="140"/>
      </w:pPr>
      <w:r>
        <w:rPr>
          <w:rFonts w:ascii="Arial" w:cs="Arial" w:eastAsia="Arial" w:hAnsi="Arial"/>
          <w:b/>
          <w:bCs/>
          <w:color w:val="1A5276"/>
          <w:sz w:val="26"/>
          <w:szCs w:val="26"/>
        </w:rPr>
        <w:t xml:space="preserve">1. Data literacy</w:t>
      </w:r>
    </w:p>
    <w:p>
      <w:pPr>
        <w:spacing w:after="80" w:before="0" w:line="240"/>
        <w:jc w:val="left"/>
      </w:pPr>
      <w:r>
        <w:rPr>
          <w:rFonts w:ascii="Arial" w:cs="Arial" w:eastAsia="Arial" w:hAnsi="Arial"/>
          <w:b w:val="false"/>
          <w:bCs w:val="false"/>
          <w:i w:val="false"/>
          <w:iCs w:val="false"/>
          <w:color w:val="2C3E50"/>
          <w:sz w:val="20"/>
          <w:szCs w:val="20"/>
        </w:rPr>
        <w:t xml:space="preserve">Econometricians can take a k-curve, a stratified split, and “curse of dimensionality.” A minister and a reader of the Saturday paper cannot. For them the chart is one sentence: “about 95 in 100 leftover quarters matched the recorded regime when we compared each quarter with its three most similar past cases, after putting every series on the same 0–1 scale.”</w:t>
      </w:r>
    </w:p>
    <w:p>
      <w:pPr>
        <w:pStyle w:val="Heading1"/>
        <w:pBdr>
          <w:bottom w:val="single" w:color="1A5276" w:sz="8" w:space="4"/>
        </w:pBdr>
        <w:spacing w:after="60" w:before="140"/>
      </w:pPr>
      <w:r>
        <w:rPr>
          <w:rFonts w:ascii="Arial" w:cs="Arial" w:eastAsia="Arial" w:hAnsi="Arial"/>
          <w:b/>
          <w:bCs/>
          <w:color w:val="1A5276"/>
          <w:sz w:val="26"/>
          <w:szCs w:val="26"/>
        </w:rPr>
        <w:t xml:space="preserve">2. Subject knowledge</w:t>
      </w:r>
    </w:p>
    <w:p>
      <w:pPr>
        <w:spacing w:after="80" w:before="0" w:line="240"/>
        <w:jc w:val="left"/>
      </w:pPr>
      <w:r>
        <w:rPr>
          <w:rFonts w:ascii="Arial" w:cs="Arial" w:eastAsia="Arial" w:hAnsi="Arial"/>
          <w:b w:val="false"/>
          <w:bCs w:val="false"/>
          <w:i w:val="false"/>
          <w:iCs w:val="false"/>
          <w:color w:val="2C3E50"/>
          <w:sz w:val="20"/>
          <w:szCs w:val="20"/>
        </w:rPr>
        <w:t xml:space="preserve">A central-bank desk already knows CLI, NBER dating, the inverted curve, and PMI. Do not define those; do define what the algorithm is allowed to claim (nowcast aid, not official dating). A journalist needs the opposite: no abbreviations, and a clear “this is not the committee call.” Waterfall P&amp;L charts do not belong here; a simple accuracy-vs-k line does.</w:t>
      </w:r>
    </w:p>
    <w:p>
      <w:pPr>
        <w:pStyle w:val="Heading1"/>
        <w:pBdr>
          <w:bottom w:val="single" w:color="1A5276" w:sz="8" w:space="4"/>
        </w:pBdr>
        <w:spacing w:after="60" w:before="140"/>
      </w:pPr>
      <w:r>
        <w:rPr>
          <w:rFonts w:ascii="Arial" w:cs="Arial" w:eastAsia="Arial" w:hAnsi="Arial"/>
          <w:b/>
          <w:bCs/>
          <w:color w:val="1A5276"/>
          <w:sz w:val="26"/>
          <w:szCs w:val="26"/>
        </w:rPr>
        <w:t xml:space="preserve">3. Four versions of the same finding</w:t>
      </w:r>
    </w:p>
    <w:p>
      <w:pPr>
        <w:spacing w:after="40" w:before="0" w:line="240"/>
        <w:jc w:val="left"/>
      </w:pPr>
      <w:r>
        <w:rPr>
          <w:rFonts w:ascii="Arial" w:cs="Arial" w:eastAsia="Arial" w:hAnsi="Arial"/>
          <w:b/>
          <w:bCs/>
          <w:i w:val="false"/>
          <w:iCs w:val="false"/>
          <w:color w:val="2C3E50"/>
          <w:sz w:val="20"/>
          <w:szCs w:val="20"/>
        </w:rPr>
        <w:t xml:space="preserve">Econometrician / research analyst</w:t>
      </w:r>
    </w:p>
    <w:p>
      <w:pPr>
        <w:spacing w:after="80" w:before="0" w:line="240"/>
        <w:jc w:val="left"/>
      </w:pPr>
      <w:r>
        <w:rPr>
          <w:rFonts w:ascii="Arial" w:cs="Arial" w:eastAsia="Arial" w:hAnsi="Arial"/>
          <w:b w:val="false"/>
          <w:bCs w:val="false"/>
          <w:i w:val="false"/>
          <w:iCs w:val="false"/>
          <w:color w:val="2C3E50"/>
          <w:sz w:val="20"/>
          <w:szCs w:val="20"/>
        </w:rPr>
        <w:t xml:space="preserve">Min-max Euclidean KNN on 16 CLI-style series, 80/20 stratified split (random_state=100), scores 0.947 at k=3 on 114 hold-out quarters versus 0.754 unscaled. k=1 is twitchier; padding 80 N(0,1) columns drops accuracy toward 0.85. Fit the scaler on train only. This is a nonparametric screen, not a structural VAR.</w:t>
      </w:r>
    </w:p>
    <w:p>
      <w:pPr>
        <w:spacing w:after="40" w:before="0" w:line="240"/>
        <w:jc w:val="left"/>
      </w:pPr>
      <w:r>
        <w:rPr>
          <w:rFonts w:ascii="Arial" w:cs="Arial" w:eastAsia="Arial" w:hAnsi="Arial"/>
          <w:b/>
          <w:bCs/>
          <w:i w:val="false"/>
          <w:iCs w:val="false"/>
          <w:color w:val="2C3E50"/>
          <w:sz w:val="20"/>
          <w:szCs w:val="20"/>
        </w:rPr>
        <w:t xml:space="preserve">Finance-ministry / central-bank desk</w:t>
      </w:r>
    </w:p>
    <w:p>
      <w:pPr>
        <w:spacing w:after="80" w:before="0" w:line="240"/>
        <w:jc w:val="left"/>
      </w:pPr>
      <w:r>
        <w:rPr>
          <w:rFonts w:ascii="Arial" w:cs="Arial" w:eastAsia="Arial" w:hAnsi="Arial"/>
          <w:b w:val="false"/>
          <w:bCs w:val="false"/>
          <w:i w:val="false"/>
          <w:iCs w:val="false"/>
          <w:color w:val="2C3E50"/>
          <w:sz w:val="20"/>
          <w:szCs w:val="20"/>
        </w:rPr>
        <w:t xml:space="preserve">A nearest-neighbor screen that lines the current quarter up against the most similar past quarters tagged the leftover sample correctly about 95 times in 100 when series are put on a 0–1 scale (k = 3). Raw mixed units only reached the mid-70s. It sits next to the dating committee; it does not replace it.</w:t>
      </w:r>
    </w:p>
    <w:p>
      <w:pPr>
        <w:spacing w:after="40" w:before="0" w:line="240"/>
        <w:jc w:val="left"/>
      </w:pPr>
      <w:r>
        <w:rPr>
          <w:rFonts w:ascii="Arial" w:cs="Arial" w:eastAsia="Arial" w:hAnsi="Arial"/>
          <w:b/>
          <w:bCs/>
          <w:i w:val="false"/>
          <w:iCs w:val="false"/>
          <w:color w:val="2C3E50"/>
          <w:sz w:val="20"/>
          <w:szCs w:val="20"/>
        </w:rPr>
        <w:t xml:space="preserve">Broadsheet economics journalist</w:t>
      </w:r>
    </w:p>
    <w:p>
      <w:pPr>
        <w:spacing w:after="80" w:before="0" w:line="240"/>
        <w:jc w:val="left"/>
      </w:pPr>
      <w:r>
        <w:rPr>
          <w:rFonts w:ascii="Arial" w:cs="Arial" w:eastAsia="Arial" w:hAnsi="Arial"/>
          <w:b w:val="false"/>
          <w:bCs w:val="false"/>
          <w:i w:val="false"/>
          <w:iCs w:val="false"/>
          <w:color w:val="2C3E50"/>
          <w:sz w:val="20"/>
          <w:szCs w:val="20"/>
        </w:rPr>
        <w:t xml:space="preserve">Researchers compared each new quarter with a handful of past quarters that looked most like it on industrial output, the yield curve and unemployment. On a set-aside test the vote matched the recorded label about 95% of the time after every series was put on the same scale. It is one extra check, not an official recession call.</w:t>
      </w:r>
    </w:p>
    <w:p>
      <w:pPr>
        <w:spacing w:after="40" w:before="0" w:line="240"/>
        <w:jc w:val="left"/>
      </w:pPr>
      <w:r>
        <w:rPr>
          <w:rFonts w:ascii="Arial" w:cs="Arial" w:eastAsia="Arial" w:hAnsi="Arial"/>
          <w:b/>
          <w:bCs/>
          <w:i w:val="false"/>
          <w:iCs w:val="false"/>
          <w:color w:val="2C3E50"/>
          <w:sz w:val="20"/>
          <w:szCs w:val="20"/>
        </w:rPr>
        <w:t xml:space="preserve">Nonspecialist friend</w:t>
      </w:r>
    </w:p>
    <w:p>
      <w:pPr>
        <w:spacing w:after="80" w:before="0" w:line="240"/>
        <w:jc w:val="left"/>
      </w:pPr>
      <w:r>
        <w:rPr>
          <w:rFonts w:ascii="Arial" w:cs="Arial" w:eastAsia="Arial" w:hAnsi="Arial"/>
          <w:b w:val="false"/>
          <w:bCs w:val="false"/>
          <w:i w:val="false"/>
          <w:iCs w:val="false"/>
          <w:color w:val="2C3E50"/>
          <w:sz w:val="20"/>
          <w:szCs w:val="20"/>
        </w:rPr>
        <w:t xml:space="preserve">Line up past quarters that look most like this one and take a majority vote on whether those twins were recessions. With three neighbors and a shared 0–1 ruler the vote was right about 95 times out of 100 on leftover data. Too few neighbors copies flukes; too many just repeats “most quarters are expansions.”</w:t>
      </w:r>
    </w:p>
    <w:p>
      <w:pPr>
        <w:pStyle w:val="Heading1"/>
        <w:pBdr>
          <w:bottom w:val="single" w:color="1A5276" w:sz="8" w:space="4"/>
        </w:pBdr>
        <w:spacing w:after="60" w:before="140"/>
      </w:pPr>
      <w:r>
        <w:rPr>
          <w:rFonts w:ascii="Arial" w:cs="Arial" w:eastAsia="Arial" w:hAnsi="Arial"/>
          <w:b/>
          <w:bCs/>
          <w:color w:val="1A5276"/>
          <w:sz w:val="26"/>
          <w:szCs w:val="26"/>
        </w:rPr>
        <w:t xml:space="preserve">4. Mixed audience in one notebook</w:t>
      </w:r>
    </w:p>
    <w:p>
      <w:pPr>
        <w:spacing w:after="80" w:before="0" w:line="240"/>
        <w:jc w:val="left"/>
      </w:pPr>
      <w:r>
        <w:rPr>
          <w:rFonts w:ascii="Arial" w:cs="Arial" w:eastAsia="Arial" w:hAnsi="Arial"/>
          <w:b w:val="false"/>
          <w:bCs w:val="false"/>
          <w:i w:val="false"/>
          <w:iCs w:val="false"/>
          <w:color w:val="2C3E50"/>
          <w:sz w:val="20"/>
          <w:szCs w:val="20"/>
        </w:rPr>
        <w:t xml:space="preserve">The skeleton keeps formulas and code (technical supervisor). The 1-page report and this memo carry the headlines (minister / editor). Charts are the skimmable bait. Full k-tables live in the solution notebook, which plays the appendix.</w:t>
      </w:r>
    </w:p>
    <w:p>
      <w:pPr>
        <w:pStyle w:val="Heading1"/>
        <w:pBdr>
          <w:bottom w:val="single" w:color="1A5276" w:sz="8" w:space="4"/>
        </w:pBdr>
        <w:spacing w:after="60" w:before="140"/>
      </w:pPr>
      <w:r>
        <w:rPr>
          <w:rFonts w:ascii="Arial" w:cs="Arial" w:eastAsia="Arial" w:hAnsi="Arial"/>
          <w:b/>
          <w:bCs/>
          <w:color w:val="1A5276"/>
          <w:sz w:val="26"/>
          <w:szCs w:val="26"/>
        </w:rPr>
        <w:t xml:space="preserve">5. What not to say</w:t>
      </w:r>
    </w:p>
    <w:p>
      <w:pPr>
        <w:pStyle w:val="ListParagraph"/>
        <w:numPr>
          <w:ilvl w:val="0"/>
          <w:numId w:val="2"/>
        </w:numPr>
        <w:spacing w:after="40"/>
      </w:pPr>
      <w:r>
        <w:rPr>
          <w:rFonts w:ascii="Arial" w:cs="Arial" w:eastAsia="Arial" w:hAnsi="Arial"/>
          <w:color w:val="2C3E50"/>
          <w:sz w:val="20"/>
          <w:szCs w:val="20"/>
        </w:rPr>
        <w:t xml:space="preserve">Do not say “the model declares a recession.” It votes among similar past rows.</w:t>
      </w:r>
    </w:p>
    <w:p>
      <w:pPr>
        <w:pStyle w:val="ListParagraph"/>
        <w:numPr>
          <w:ilvl w:val="0"/>
          <w:numId w:val="2"/>
        </w:numPr>
        <w:spacing w:after="40"/>
      </w:pPr>
      <w:r>
        <w:rPr>
          <w:rFonts w:ascii="Arial" w:cs="Arial" w:eastAsia="Arial" w:hAnsi="Arial"/>
          <w:color w:val="2C3E50"/>
          <w:sz w:val="20"/>
          <w:szCs w:val="20"/>
        </w:rPr>
        <w:t xml:space="preserve">Do not quote training accuracy. The number that matters is the 114-quarter hold-out.</w:t>
      </w:r>
    </w:p>
    <w:p>
      <w:pPr>
        <w:pStyle w:val="ListParagraph"/>
        <w:numPr>
          <w:ilvl w:val="0"/>
          <w:numId w:val="2"/>
        </w:numPr>
        <w:spacing w:after="40"/>
      </w:pPr>
      <w:r>
        <w:rPr>
          <w:rFonts w:ascii="Arial" w:cs="Arial" w:eastAsia="Arial" w:hAnsi="Arial"/>
          <w:color w:val="2C3E50"/>
          <w:sz w:val="20"/>
          <w:szCs w:val="20"/>
        </w:rPr>
        <w:t xml:space="preserve">Do not hide the 212 / 357 split — a naive “always expansion” floor is 63%.</w:t>
      </w:r>
    </w:p>
    <w:p>
      <w:pPr>
        <w:pStyle w:val="ListParagraph"/>
        <w:numPr>
          <w:ilvl w:val="0"/>
          <w:numId w:val="2"/>
        </w:numPr>
        <w:spacing w:after="40"/>
      </w:pPr>
      <w:r>
        <w:rPr>
          <w:rFonts w:ascii="Arial" w:cs="Arial" w:eastAsia="Arial" w:hAnsi="Arial"/>
          <w:color w:val="2C3E50"/>
          <w:sz w:val="20"/>
          <w:szCs w:val="20"/>
        </w:rPr>
        <w:t xml:space="preserve">Do not ship k=1 because it “looks precise” on the training cloud.</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D6D7E"/>
        <w:sz w:val="16"/>
        <w:szCs w:val="16"/>
      </w:rPr>
      <w:t xml:space="preserve">KNN_Econ_Project_Memo  ·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left"/>
    </w:pPr>
    <w:r>
      <w:rPr>
        <w:rFonts w:ascii="Arial" w:cs="Arial" w:eastAsia="Arial" w:hAnsi="Arial"/>
        <w:b w:val="false"/>
        <w:bCs w:val="false"/>
        <w:i w:val="false"/>
        <w:iCs w:val="false"/>
        <w:color w:val="5D6D7E"/>
        <w:sz w:val="16"/>
        <w:szCs w:val="16"/>
      </w:rPr>
      <w:t xml:space="preserve">Internal memo  ·  KNN_Econ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Arial" w:cs="Arial" w:eastAsia="Arial" w:hAnsi="Arial"/>
      <w:b/>
      <w:bCs/>
      <w:color w:val="1A5276"/>
      <w:sz w:val="26"/>
      <w:szCs w:val="26"/>
    </w:rPr>
  </w:style>
  <w:style w:type="paragraph" w:styleId="Heading2">
    <w:name w:val="Heading 2"/>
    <w:basedOn w:val="Normal"/>
    <w:next w:val="Normal"/>
    <w:qFormat/>
    <w:pPr>
      <w:spacing w:after="60" w:before="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2026-08-28T01:11:03.220Z</dcterms:created>
  <dcterms:modified xsi:type="dcterms:W3CDTF">2026-08-28T01:11:03.220Z</dcterms:modified>
</cp:coreProperties>
</file>

<file path=docProps/custom.xml><?xml version="1.0" encoding="utf-8"?>
<Properties xmlns="http://schemas.openxmlformats.org/officeDocument/2006/custom-properties" xmlns:vt="http://schemas.openxmlformats.org/officeDocument/2006/docPropsVTypes"/>
</file>