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K-Nearest Neighbors Classifier</w:t>
      </w:r>
    </w:p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6"/>
          <w:szCs w:val="16"/>
        </w:rPr>
        <w:t xml:space="preserve">Codecademy movies (from-scratch) + Wisconsin breast-cancer (sklearn)  ·  short name KNN_Cancer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Problem Statement</w:t>
      </w:r>
    </w:p>
    <w:p>
      <w:pPr>
        <w:spacing w:after="8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 new row — movie, biopsy, or loan file — has numbers and no label. KNN asks which labeled points sit closest and what those neighbors vote. Two traps: raw scales are incomparable (budget drowns year), and k is a bias–variance knob (k=1 copies outliers; huge k copies the base rate). This project votes by hand on 40 films, then scores 569 Wisconsin cells (30 features, 212 malignant / 357 benign) while k, scaling, noise, n, and junk columns change.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Solution Strategy</w:t>
      </w:r>
    </w:p>
    <w:p>
      <w:pPr>
        <w:spacing w:after="8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Euclidean distance in n-D (Manhattan alternate). Min-max each column on the training fold only. Take the k smallest distances; majority wins (odd k avoids ties). Same pipeline via KNeighborsClassifier. Stratified 80/20, seed 100. Sweep k=1…50. A 2-D blob set shows the jagged k=1 vs smooth k=21 boundary; a DTI/utilization book is extra practice. Simulation knobs: k, label flips, training fraction, padded noise columns. Four audience rewrites in the memo.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 Wars vs Raiders (2-D)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 ≈ 10.77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Closer than Mean Girls (year + runtime)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Cancer split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455 / 114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test_size=0.2, seed=100, stratified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3 unscaled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0.939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Radius / texture ranges dominate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3 min-max scaled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0.965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 feature contributes fairly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scaled k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 = 15 → 0.974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114 hold-out cells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+80 noise columns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~0.91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Curse of dimensionality</w:t>
            </w:r>
          </w:p>
        </w:tc>
      </w:tr>
    </w:tbl>
    <w:p>
      <w:pPr>
        <w:spacing w:after="20" w:before="8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6"/>
          <w:szCs w:val="16"/>
        </w:rPr>
        <w:t xml:space="preserve">Validation accuracy vs k (min-max scaled vs raw features). Companion panel: knn_cancer_simulation.png.</w:t>
      </w:r>
    </w:p>
    <w:p>
      <w:pPr>
        <w:spacing w:after="60" w:before="60"/>
        <w:jc w:val="center"/>
      </w:pPr>
      <w:r>
        <w:drawing>
          <wp:inline distT="0" distB="0" distL="0" distR="0">
            <wp:extent cx="3810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Closeness is a distance over all features — not the “most important” column and not a shared-feature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Normalize first. Unscaled budget or cell-area will quietly own the neighbor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Small k overfits (outliers vote); large k underfits (global majority). Accuracy vs k rises then falls.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Odd k removes 2–2 ties. sklearn.predict takes a batch of new points, not the training matrix.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KNN still “works” at 30 features; stuffing 80 noise columns makes distances look alike and accuracy drops.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a triage aid. A 97% hold-out score is not a signed pathology report.</w:t>
      </w:r>
    </w:p>
    <w:sectPr>
      <w:headerReference w:type="default" r:id="rId7"/>
      <w:footerReference w:type="default" r:id="rId8"/>
      <w:pgSz w:w="12240" w:h="15840" w:orient="portrait"/>
      <w:pgMar w:top="72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KNN_Cancer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KNN_Cancer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03ca7bbeb36de70d76814648ac2462e0c9ae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2026-08-27T21:09:33.065Z</dcterms:created>
  <dcterms:modified xsi:type="dcterms:W3CDTF">2026-08-27T21:09:33.065Z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