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rFonts w:ascii="Arial" w:cs="Arial" w:eastAsia="Arial" w:hAnsi="Arial"/>
          <w:b/>
          <w:bCs/>
          <w:color w:val="1A5276"/>
          <w:sz w:val="30"/>
          <w:szCs w:val="30"/>
        </w:rPr>
        <w:t xml:space="preserve">Project memo: who this KNN result is for</w:t>
      </w:r>
    </w:p>
    <w:p>
      <w:pPr>
        <w:spacing w:after="80" w:before="0" w:line="2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D6D7E"/>
          <w:sz w:val="18"/>
          <w:szCs w:val="18"/>
        </w:rPr>
        <w:t xml:space="preserve">Audience adaptation for the Wisconsin KNN screen  ·  short name KNN_Cancer</w:t>
      </w:r>
    </w:p>
    <w:p>
      <w:pPr>
        <w:spacing w:after="80" w:before="0" w:line="2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0"/>
          <w:szCs w:val="20"/>
        </w:rPr>
        <w:t xml:space="preserve">Sources in spirit: Jočys “What to Consider When Considering the Audience”; McMurrey audience types (expert / technician / executive / nonspecialist); data-analysis report structure (intro skimmable by a client, body for a technical supervisor, appendix for code).</w:t>
      </w:r>
    </w:p>
    <w:p>
      <w:pPr>
        <w:pStyle w:val="Heading1"/>
        <w:pBdr>
          <w:bottom w:val="single" w:color="1A5276" w:sz="8" w:space="4"/>
        </w:pBdr>
        <w:spacing w:after="80" w:before="16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1. Data literacy</w:t>
      </w:r>
    </w:p>
    <w:p>
      <w:pPr>
        <w:spacing w:after="80" w:before="0" w:line="2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0"/>
          <w:szCs w:val="20"/>
        </w:rPr>
        <w:t xml:space="preserve">Analysts can take scatterplots, a k-curve, and “stratified 80/20.” Executives and patients cannot. For them the chart is a single sentence: “about 97 in 100 leftover slides matched the recorded label when we used 15 similar past cases.” Do not lead with Euclidean distance.</w:t>
      </w:r>
    </w:p>
    <w:p>
      <w:pPr>
        <w:pStyle w:val="Heading1"/>
        <w:pBdr>
          <w:bottom w:val="single" w:color="1A5276" w:sz="8" w:space="4"/>
        </w:pBdr>
        <w:spacing w:after="80" w:before="16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2. Subject knowledge</w:t>
      </w:r>
    </w:p>
    <w:p>
      <w:pPr>
        <w:spacing w:after="80" w:before="0" w:line="2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0"/>
          <w:szCs w:val="20"/>
        </w:rPr>
        <w:t xml:space="preserve">Tumor-board chairs already know FNA, nuclear grade, and the malignant/benign split. Do not define those terms; do define what the algorithm is allowed to claim. Patients need the opposite: no abbreviations, and a clear “this is not your diagnosis.” Finance-style waterfalls do not belong here; a simple accuracy-vs-k line does.</w:t>
      </w:r>
    </w:p>
    <w:p>
      <w:pPr>
        <w:pStyle w:val="Heading1"/>
        <w:pBdr>
          <w:bottom w:val="single" w:color="1A5276" w:sz="8" w:space="4"/>
        </w:pBdr>
        <w:spacing w:after="80" w:before="16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3. Four versions of the same finding</w:t>
      </w:r>
    </w:p>
    <w:p>
      <w:pPr>
        <w:spacing w:after="40" w:before="0" w:line="24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2C3E50"/>
          <w:sz w:val="20"/>
          <w:szCs w:val="20"/>
        </w:rPr>
        <w:t xml:space="preserve">Quant / research analyst</w:t>
      </w:r>
    </w:p>
    <w:p>
      <w:pPr>
        <w:spacing w:after="80" w:before="0" w:line="2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0"/>
          <w:szCs w:val="20"/>
        </w:rPr>
        <w:t xml:space="preserve">Scaled Euclidean KNN on the 30-feature Wisconsin matrix, 80/20 stratified split (random_state=100), reaches 0.965 at k=3 and 0.974 at k=15 on 114 hold-out cells. k=1 overfits local noise; padding 80 N(0,1) columns drops accuracy into the low 0.91s. Min-max is fit on train only. Lock k only after the sensitivity run.</w:t>
      </w:r>
    </w:p>
    <w:p>
      <w:pPr>
        <w:spacing w:after="40" w:before="0" w:line="24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2C3E50"/>
          <w:sz w:val="20"/>
          <w:szCs w:val="20"/>
        </w:rPr>
        <w:t xml:space="preserve">Medical director / technician-executive</w:t>
      </w:r>
    </w:p>
    <w:p>
      <w:pPr>
        <w:spacing w:after="80" w:before="0" w:line="2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0"/>
          <w:szCs w:val="20"/>
        </w:rPr>
        <w:t xml:space="preserve">A nearest-neighbor screen that uses the standard nuclear measurements from the FNA report agreed with the recorded result on about 97 of 100 held-out slides when each new cell was compared with its 15 most similar past cases. It is a triage aid. Pathology still signs the case. Extra uninformative fields make look-alikes harder to find.</w:t>
      </w:r>
    </w:p>
    <w:p>
      <w:pPr>
        <w:spacing w:after="40" w:before="0" w:line="24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2C3E50"/>
          <w:sz w:val="20"/>
          <w:szCs w:val="20"/>
        </w:rPr>
        <w:t xml:space="preserve">Patient-education leaflet</w:t>
      </w:r>
    </w:p>
    <w:p>
      <w:pPr>
        <w:spacing w:after="80" w:before="0" w:line="2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0"/>
          <w:szCs w:val="20"/>
        </w:rPr>
        <w:t xml:space="preserve">Doctors can compare a new biopsy with past biopsies that look similar. In a test of 114 samples the method agreed with the recorded result about 97% of the time. It is one extra check, not a verdict. Your care team uses many tests together.</w:t>
      </w:r>
    </w:p>
    <w:p>
      <w:pPr>
        <w:spacing w:after="40" w:before="0" w:line="24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2C3E50"/>
          <w:sz w:val="20"/>
          <w:szCs w:val="20"/>
        </w:rPr>
        <w:t xml:space="preserve">Nonspecialist friend</w:t>
      </w:r>
    </w:p>
    <w:p>
      <w:pPr>
        <w:spacing w:after="80" w:before="0" w:line="2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0"/>
          <w:szCs w:val="20"/>
        </w:rPr>
        <w:t xml:space="preserve">Line up the past lab reports that look most like yours and take a majority vote. With a few dozen neighbors the vote was right about 97 times out of 100 on leftover samples. Too few neighbors copies flukes; too many just repeats the overall average.</w:t>
      </w:r>
    </w:p>
    <w:p>
      <w:pPr>
        <w:pStyle w:val="Heading1"/>
        <w:pBdr>
          <w:bottom w:val="single" w:color="1A5276" w:sz="8" w:space="4"/>
        </w:pBdr>
        <w:spacing w:after="80" w:before="16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4. Mixed audience in one notebook</w:t>
      </w:r>
    </w:p>
    <w:p>
      <w:pPr>
        <w:spacing w:after="80" w:before="0" w:line="2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0"/>
          <w:szCs w:val="20"/>
        </w:rPr>
        <w:t xml:space="preserve">The skeleton keeps formulas and code in the body (technical supervisor). The 1-page report and this memo carry the headlines (client / executive). Charts are the skimmable bait: k-curve first, simulation panel second. Code and full k-tables stay in the solution notebook, which plays the role of an appendix.</w:t>
      </w:r>
    </w:p>
    <w:p>
      <w:pPr>
        <w:pStyle w:val="Heading1"/>
        <w:pBdr>
          <w:bottom w:val="single" w:color="1A5276" w:sz="8" w:space="4"/>
        </w:pBdr>
        <w:spacing w:after="80" w:before="16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5. What not to say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Do not say “the model diagnoses cancer.” It votes among similar past rows.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Do not quote training accuracy. The number that matters is the 114-row hold-out.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Do not hide the 212 / 357 imbalance — a naive “always benign” floor is 63%.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Do not ship k=1 because it “looks precise” on the training cloud.</w:t>
      </w:r>
    </w:p>
    <w:sectPr>
      <w:headerReference w:type="default" r:id="rId7"/>
      <w:footerReference w:type="default" r:id="rId8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color w:val="5D6D7E"/>
        <w:sz w:val="16"/>
        <w:szCs w:val="16"/>
      </w:rPr>
      <w:t xml:space="preserve">KNN_Cancer_Project_Memo  ·  </w:t>
    </w:r>
    <w:r>
      <w:rPr>
        <w:rFonts w:ascii="Arial" w:cs="Arial" w:eastAsia="Arial" w:hAnsi="Arial"/>
        <w:color w:val="5D6D7E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 w:before="0" w:line="240"/>
      <w:jc w:val="left"/>
    </w:pPr>
    <w:r>
      <w:rPr>
        <w:rFonts w:ascii="Arial" w:cs="Arial" w:eastAsia="Arial" w:hAnsi="Arial"/>
        <w:b w:val="false"/>
        <w:bCs w:val="false"/>
        <w:i w:val="false"/>
        <w:iCs w:val="false"/>
        <w:color w:val="5D6D7E"/>
        <w:sz w:val="16"/>
        <w:szCs w:val="16"/>
      </w:rPr>
      <w:t xml:space="preserve">Internal memo  ·  KNN_Cancer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80" w:before="160"/>
      <w:outlineLvl w:val="0"/>
    </w:pPr>
    <w:rPr>
      <w:rFonts w:ascii="Arial" w:cs="Arial" w:eastAsia="Arial" w:hAnsi="Arial"/>
      <w:b/>
      <w:bCs/>
      <w:color w:val="1A5276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140"/>
      <w:outlineLvl w:val="1"/>
    </w:pPr>
    <w:rPr>
      <w:rFonts w:ascii="Arial" w:cs="Arial" w:eastAsia="Arial" w:hAnsi="Arial"/>
      <w:b/>
      <w:bCs/>
      <w:color w:val="1A527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2026-08-27T21:09:34.258Z</dcterms:created>
  <dcterms:modified xsi:type="dcterms:W3CDTF">2026-08-27T21:09:34.258Z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