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Fuel economy visual analysis (R / ggplot2)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F4E79"/>
        </w:rPr>
        <w:t xml:space="preserve">Problem Statement</w:t>
      </w:r>
    </w:p>
    <w:p>
      <w:pPr>
        <w:spacing w:after="80" w:before="0" w:line="2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EPA/DOE vehicles.csv lists every US-market configuration since 1984 with combined, city, and highway MPG plus engine, transmission, fuel, and make. The Cookbook Ch. 2 question is simple: did fuel economy actually improve, or did the mix of vehicles change? An all-rows mean after 2011 is inflated by hybrids and EVs (MPGe). Decision-makers need a gasoline-only series, a size-vs-MPG check, and a make-level view — in R, with charts a mixed audience can skim.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F4E79"/>
        </w:rPr>
        <w:t xml:space="preserve">Solution Strategy</w:t>
      </w:r>
    </w:p>
    <w:p>
      <w:pPr>
        <w:spacing w:after="80" w:before="0" w:line="2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Follow the data-science pipeline in the chapter: acquire → import with stringsAsFactors = FALSE → explore nrow/ncol/year/fuel tables → repair trany and charger types → split–apply–combine year means (dplyr or plyr) → ggplot2 point+smooth → subset gasoline → relate displacement to MPG → melt/facet dual series → 4-cyl boxplots and transmission mix → Reduce(intersect) for makes present every year 1984–2014 → Monte-Carlo-style knobs (year cut, hybrids on/off, noise, subsample). Write four audience versions of the same finding.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F4E79"/>
        </w:rPr>
        <w:t xml:space="preserve">Solution</w:t>
      </w:r>
    </w:p>
    <w:p>
      <w:pPr>
        <w:spacing w:after="80" w:before="0" w:line="2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This extract: 50,242 rows × 84 columns, years 1984–2027. Regular gasoline 31,324; Premium 15,759; Electricity 1,572. Auto 36,934 / Manual 13,297. All-vehicle mean combined MPG: 19.88 (1984) → 23.55 (2014) → 37.38 (2024). Gasoline-only (no hybrid/dual-fuel/EV): 19.12 → 19.19 (2008) → 22.27 (2014) → 22.09 (2024). Mean displacement peaked ~3.59 L in 2008 then eased to ~3.12 L. displ vs comb08 r ≈ −0.78. Twelve 4-cyl makes appear every year 1984–2014 (same list as the book). 4-cyl Auto share 42% → 91%.</w:t>
      </w:r>
    </w:p>
    <w:p>
      <w:pPr>
        <w:spacing w:after="80" w:before="80"/>
        <w:jc w:val="center"/>
      </w:pPr>
      <w:r>
        <w:drawing>
          <wp:inline distT="0" distB="0" distL="0" distR="0">
            <wp:extent cx="4457700" cy="4705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470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 w:line="240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Figure. All-fleet vs gasoline-only MPG, displacement scatter and time series, 4-cyl transmission mix, unique makes. The red all-fleet line after 2011 is not an ICE story.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F4E79"/>
        </w:rPr>
        <w:t xml:space="preserve">Key Takeaways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Never brief the pooled MPG series without naming EVs/hybrids. Gasoline-only improved after 2008, not in a straight line from 1984.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Smaller engines explain part of the post-2008 gasoline gain; efficiency at a given size also improved (MPG flat while displacement rose until 2005).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Manuals are no longer the high-MPG niche they were; the catalog itself became automatic.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Type traps (blank trany, charger flags, factor import) belong in the lab notebook before the chart.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Short project name: FuelEcon_R. Practice in the skeleton; answers in the solution; reuse via the template.</w:t>
      </w:r>
    </w:p>
    <w:sectPr>
      <w:headerReference w:type="default" r:id="rId7"/>
      <w:footerReference w:type="default" r:id="rId8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FuelEcon_R  · 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40"/>
    </w:pPr>
    <w:r>
      <w:rPr>
        <w:rFonts w:ascii="Arial" w:cs="Arial" w:eastAsia="Arial" w:hAnsi="Arial"/>
        <w:color w:val="666666"/>
        <w:sz w:val="16"/>
        <w:szCs w:val="16"/>
      </w:rPr>
      <w:t xml:space="preserve">FuelEcon_R  ·  1-Page Summary Report  ·  EPA vehicles.csv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140"/>
      <w:outlineLvl w:val="1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f40d34593bb0712f7d712aa9499f423fbc05b8b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2026-08-29T06:28:13.507Z</dcterms:created>
  <dcterms:modified xsi:type="dcterms:W3CDTF">2026-08-29T06:28:13.508Z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