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</w:rPr>
        <w:t xml:space="preserve">TO:		</w:t>
      </w:r>
      <w:r>
        <w:t xml:space="preserve">Data Science Leadership / Product Analytics Team</w:t>
      </w:r>
    </w:p>
    <w:p>
      <w:pPr>
        <w:spacing w:after="60"/>
      </w:pPr>
      <w:r>
        <w:rPr>
          <w:b/>
          <w:bCs/>
        </w:rPr>
        <w:t xml:space="preserve">FROM:		</w:t>
      </w:r>
      <w:r>
        <w:t xml:space="preserve">Machine Learning Engineering</w:t>
      </w:r>
    </w:p>
    <w:p>
      <w:pPr>
        <w:spacing w:after="60"/>
      </w:pPr>
      <w:r>
        <w:rPr>
          <w:b/>
          <w:bCs/>
        </w:rPr>
        <w:t xml:space="preserve">DATE:		</w:t>
      </w:r>
      <w:r>
        <w:t xml:space="preserve">August 18, 2026</w:t>
      </w:r>
    </w:p>
    <w:p>
      <w:pPr>
        <w:spacing w:after="60"/>
      </w:pPr>
      <w:r>
        <w:rPr>
          <w:b/>
          <w:bCs/>
        </w:rPr>
        <w:t xml:space="preserve">RE:		</w:t>
      </w:r>
      <w:r>
        <w:rPr>
          <w:b/>
          <w:bCs/>
        </w:rPr>
        <w:t xml:space="preserve">Proposed Project — Predicting Online Ad Click-Through with Tree-Based Algorithms</w:t>
      </w:r>
    </w:p>
    <w:p>
      <w:pPr>
        <w:pBdr>
          <w:bottom w:val="single" w:color="CCCCCC" w:sz="6" w:space="8"/>
        </w:pBdr>
        <w:spacing w:after="300"/>
      </w:pPr>
      <w:r>
        <w:rPr>
          <w:b/>
          <w:bCs/>
        </w:rPr>
        <w:t xml:space="preserve">CC:		</w:t>
      </w:r>
      <w:r>
        <w:t xml:space="preserve">Advertising Platform Product, Revenue Operations</w:t>
      </w:r>
    </w:p>
    <w:p>
      <w:pPr>
        <w:spacing w:after="200"/>
      </w:pPr>
      <w:r>
        <w:t xml:space="preserve">Purpose</w:t>
      </w:r>
    </w:p>
    <w:p>
      <w:pPr>
        <w:spacing w:after="200"/>
      </w:pPr>
      <w:r>
        <w:t xml:space="preserve">This memo proposes a focused machine-learning project to build, evaluate, and deploy tree-based models for predicting online advertising click-through rates (CTR). The work directly supports revenue optimization by improving ad targeting quality and campaign measurement.</w:t>
      </w:r>
    </w:p>
    <w:p>
      <w:pPr>
        <w:pStyle w:val="Heading1"/>
      </w:pPr>
      <w:r>
        <w:t xml:space="preserve">1. Business Context</w:t>
      </w:r>
    </w:p>
    <w:p>
      <w:pPr>
        <w:spacing w:after="160"/>
      </w:pPr>
      <w:r>
        <w:t xml:space="preserve">Online display advertising is a multi-billion-dollar industry. The primary effectiveness metric is Click-Through Rate — the ratio of clicks to impressions. Accurate CTR prediction enables:</w:t>
      </w:r>
    </w:p>
    <w:p>
      <w:pPr>
        <w:spacing w:after="80"/>
        <w:ind w:left="360"/>
      </w:pPr>
      <w:r>
        <w:t xml:space="preserve">• Better allocation of impressions to high-probability users</w:t>
      </w:r>
    </w:p>
    <w:p>
      <w:pPr>
        <w:spacing w:after="80"/>
        <w:ind w:left="360"/>
      </w:pPr>
      <w:r>
        <w:t xml:space="preserve">• Improved advertiser ROI and platform take-rate</w:t>
      </w:r>
    </w:p>
    <w:p>
      <w:pPr>
        <w:spacing w:after="200"/>
        <w:ind w:left="360"/>
      </w:pPr>
      <w:r>
        <w:t xml:space="preserve">• Reduced waste on low-relevance inventory</w:t>
      </w:r>
    </w:p>
    <w:p>
      <w:pPr>
        <w:spacing w:after="200"/>
      </w:pPr>
      <w:r>
        <w:t xml:space="preserve">Current baseline targeting produces modest lift. A well-calibrated predictive model can deliver measurable incremental clicks while remaining fully interpretable to non-technical stakeholders.</w:t>
      </w:r>
    </w:p>
    <w:p>
      <w:pPr>
        <w:pStyle w:val="Heading1"/>
      </w:pPr>
      <w:r>
        <w:t xml:space="preserve">2. Technical Approach</w:t>
      </w:r>
    </w:p>
    <w:p>
      <w:pPr>
        <w:spacing w:after="160"/>
      </w:pPr>
      <w:r>
        <w:t xml:space="preserve">We recommend tree-based algorithms for the following reasons:</w:t>
      </w:r>
    </w:p>
    <w:p>
      <w:pPr>
        <w:spacing w:after="80"/>
        <w:ind w:left="360"/>
      </w:pPr>
      <w:r>
        <w:rPr>
          <w:b/>
          <w:bCs/>
        </w:rPr>
        <w:t xml:space="preserve">Native handling of categorical features</w:t>
      </w:r>
      <w:r>
        <w:t xml:space="preserve"> — site category, device type, app domain, etc., without mandatory dense numerical embeddings.</w:t>
      </w:r>
    </w:p>
    <w:p>
      <w:pPr>
        <w:spacing w:after="80"/>
        <w:ind w:left="360"/>
      </w:pPr>
      <w:r>
        <w:rPr>
          <w:b/>
          <w:bCs/>
        </w:rPr>
        <w:t xml:space="preserve">High interpretability</w:t>
      </w:r>
      <w:r>
        <w:t xml:space="preserve"> — decision paths can be explained to advertising clients and compliance teams.</w:t>
      </w:r>
    </w:p>
    <w:p>
      <w:pPr>
        <w:spacing w:after="80"/>
        <w:ind w:left="360"/>
      </w:pPr>
      <w:r>
        <w:rPr>
          <w:b/>
          <w:bCs/>
        </w:rPr>
        <w:t xml:space="preserve">Strong performance on tabular data</w:t>
      </w:r>
      <w:r>
        <w:t xml:space="preserve"> — random forests and gradient-boosted trees routinely outperform linear models on this problem class.</w:t>
      </w:r>
    </w:p>
    <w:p>
      <w:pPr>
        <w:spacing w:after="200"/>
        <w:ind w:left="360"/>
      </w:pPr>
      <w:r>
        <w:rPr>
          <w:b/>
          <w:bCs/>
        </w:rPr>
        <w:t xml:space="preserve">Scalable tooling</w:t>
      </w:r>
      <w:r>
        <w:t xml:space="preserve"> — scikit-learn DecisionTree / RandomForest and XGBoost are production-ready and well-supported.</w:t>
      </w:r>
    </w:p>
    <w:p>
      <w:pPr>
        <w:spacing w:after="160"/>
      </w:pPr>
      <w:r>
        <w:t xml:space="preserve">The project will cover:</w:t>
      </w:r>
    </w:p>
    <w:p>
      <w:pPr>
        <w:spacing w:after="60"/>
        <w:ind w:left="360"/>
      </w:pPr>
      <w:r>
        <w:t xml:space="preserve">1. From-scratch implementation of CART decision trees (Gini &amp; Information Gain) for educational depth and validation.</w:t>
      </w:r>
    </w:p>
    <w:p>
      <w:pPr>
        <w:spacing w:after="60"/>
        <w:ind w:left="360"/>
      </w:pPr>
      <w:r>
        <w:t xml:space="preserve">2. Production implementation with scikit-learn and hyperparameter search (max_depth, min_samples_split).</w:t>
      </w:r>
    </w:p>
    <w:p>
      <w:pPr>
        <w:spacing w:after="60"/>
        <w:ind w:left="360"/>
      </w:pPr>
      <w:r>
        <w:t xml:space="preserve">3. Ensemble methods: Random Forest (bagging + feature randomness) and Gradient-Boosted Trees.</w:t>
      </w:r>
    </w:p>
    <w:p>
      <w:pPr>
        <w:spacing w:after="200"/>
        <w:ind w:left="360"/>
      </w:pPr>
      <w:r>
        <w:t xml:space="preserve">4. Rigorous evaluation using ROC-AUC on a chronologically held-out test set, with comparison to a random baseline.</w:t>
      </w:r>
    </w:p>
    <w:p>
      <w:pPr>
        <w:pStyle w:val="Heading1"/>
      </w:pPr>
      <w:r>
        <w:t xml:space="preserve">3. Data &amp; Scope</w:t>
      </w:r>
    </w:p>
    <w:p>
      <w:pPr>
        <w:spacing w:after="160"/>
      </w:pPr>
      <w:r>
        <w:t xml:space="preserve">Primary data source: Avazu CTR Prediction competition dataset (or internal equivalent). Initial modeling will use the first 300,000 labeled impressions. Features include anonymized categorical variables covering ad, site/app, and device context. Target is binary click (0/1).</w:t>
      </w:r>
    </w:p>
    <w:p>
      <w:pPr>
        <w:spacing w:after="200"/>
      </w:pPr>
      <w:r>
        <w:t xml:space="preserve">Key preprocessing steps: chronological train/test split, One-Hot Encoding of categoricals (handle_unknown='ignore'), and careful exclusion of identifiers that leak or add no signal (id, device_id, device_ip, raw hour).</w:t>
      </w:r>
    </w:p>
    <w:p>
      <w:pPr>
        <w:pStyle w:val="Heading1"/>
      </w:pPr>
      <w:r>
        <w:t xml:space="preserve">4. Expected Outcomes &amp; Success Criteria</w:t>
      </w:r>
    </w:p>
    <w:p>
      <w:pPr>
        <w:spacing w:after="80"/>
        <w:ind w:left="360"/>
      </w:pPr>
      <w:r>
        <w:t xml:space="preserve">• Decision tree baseline ROC-AUC ≥ 0.70 on held-out data (vs. ~0.50 random).</w:t>
      </w:r>
    </w:p>
    <w:p>
      <w:pPr>
        <w:spacing w:after="80"/>
        <w:ind w:left="360"/>
      </w:pPr>
      <w:r>
        <w:t xml:space="preserve">• Random Forest / XGBoost improvement of at least +0.03–0.05 AUC over single tree.</w:t>
      </w:r>
    </w:p>
    <w:p>
      <w:pPr>
        <w:spacing w:after="80"/>
        <w:ind w:left="360"/>
      </w:pPr>
      <w:r>
        <w:t xml:space="preserve">• Fully documented, reproducible notebook + reusable prediction pipeline.</w:t>
      </w:r>
    </w:p>
    <w:p>
      <w:pPr>
        <w:spacing w:after="80"/>
        <w:ind w:left="360"/>
      </w:pPr>
      <w:r>
        <w:t xml:space="preserve">• Model card and stakeholder-facing interpretation of key splits.</w:t>
      </w:r>
    </w:p>
    <w:p>
      <w:pPr>
        <w:spacing w:after="200"/>
        <w:ind w:left="360"/>
      </w:pPr>
      <w:r>
        <w:t xml:space="preserve">• Clear recommendation on which model family to productionize.</w:t>
      </w:r>
    </w:p>
    <w:p>
      <w:pPr>
        <w:pStyle w:val="Heading1"/>
      </w:pPr>
      <w:r>
        <w:t xml:space="preserve">5. Timeline &amp; Resources</w:t>
      </w:r>
    </w:p>
    <w:p>
      <w:pPr>
        <w:spacing w:after="160"/>
      </w:pPr>
      <w:r>
        <w:t xml:space="preserve">Estimated effort: 3–4 weeks for one ML engineer (data prep + from-scratch + sklearn + ensembles + documentation). Requires access to the training data, a machine with ≥16 GB RAM for one-hot expansion, and standard Python data-science stack.</w:t>
      </w:r>
    </w:p>
    <w:p>
      <w:pPr>
        <w:pStyle w:val="Heading1"/>
      </w:pPr>
      <w:r>
        <w:t xml:space="preserve">6. Recommendation</w:t>
      </w:r>
    </w:p>
    <w:p>
      <w:pPr>
        <w:spacing w:after="200"/>
      </w:pPr>
      <w:r>
        <w:t xml:space="preserve">I recommend approving this project. It delivers both immediate business value (better ad targeting) and lasting internal capability (deep understanding of tree-based methods that transfer to many other tabular prediction problems). The combination of interpretability and competitive predictive power makes tree ensembles particularly well-suited to the advertising use case.</w:t>
      </w:r>
    </w:p>
    <w:p>
      <w:pPr>
        <w:spacing w:after="200"/>
      </w:pPr>
      <w:r>
        <w:t xml:space="preserve">Please advise if you would like a more detailed project plan or kickoff meeting.</w:t>
      </w:r>
    </w:p>
    <w:p>
      <w:pPr>
        <w:spacing w:before="300"/>
      </w:pPr>
      <w:r>
        <w:rPr>
          <w:i/>
          <w:iCs/>
        </w:rPr>
        <w:t xml:space="preserve">Respectfully submitted,</w:t>
      </w:r>
    </w:p>
    <w:p>
      <w:pPr>
        <w:spacing w:before="200"/>
      </w:pPr>
      <w:r>
        <w:rPr>
          <w:b/>
          <w:bCs/>
        </w:rPr>
        <w:t xml:space="preserve">Machine Learning Engineering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Confidential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6"/>
      </w:pBdr>
    </w:pPr>
    <w:r>
      <w:rPr>
        <w:b/>
        <w:bCs/>
        <w:color w:val="1F4E79"/>
        <w:spacing w:val="40"/>
        <w:sz w:val="18"/>
        <w:szCs w:val="18"/>
      </w:rPr>
      <w:t xml:space="preserve">INTERNAL MEMORANDUM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2026-08-18T06:21:06.611Z</dcterms:created>
  <dcterms:modified xsi:type="dcterms:W3CDTF">2026-08-18T06:21:06.611Z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