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Related Topics for Tree-Based Prediction Projects</w:t>
      </w:r>
    </w:p>
    <w:p>
      <w:pPr>
        <w:spacing w:after="200"/>
      </w:pPr>
      <w:r>
        <w:rPr>
          <w:sz w:val="20"/>
          <w:szCs w:val="20"/>
        </w:rPr>
        <w:t xml:space="preserve">The same technical approach used for online ad click-through prediction — handling mixed categorical/numerical tabular data, binary classification, imbalance, interpretability, and ensembles — transfers powerfully to many other high-value business problems. Below are five high-impact topics that can be analyzed with essentially the same project template.</w:t>
      </w:r>
    </w:p>
    <w:p>
      <w:pPr>
        <w:pStyle w:val="Heading2"/>
      </w:pPr>
      <w:r>
        <w:t xml:space="preserve">1. Customer Churn Prediction (Telecom, SaaS, Subscription)</w:t>
      </w:r>
    </w:p>
    <w:p>
      <w:pPr>
        <w:spacing w:after="120"/>
      </w:pPr>
      <w:r>
        <w:t xml:space="preserve">Predict whether a customer will cancel or stop using a service within a defined window (e.g., next 30/90 days).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Heavy categorical features (plan type, device, region, support tickets category), numerical usage metrics, class imbalance, and strong need for actionable explanations (“why is this customer at risk?”).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models: </w:t>
      </w:r>
      <w:r>
        <w:t xml:space="preserve">Decision trees for rule extraction, Random Forest / XGBoost for accuracy, SHAP or feature importance for retention teams.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success metric: </w:t>
      </w:r>
      <w:r>
        <w:t xml:space="preserve">ROC-AUC, Precision@Top-K, lift over baseline retention campaigns.</w:t>
      </w:r>
    </w:p>
    <w:p>
      <w:pPr>
        <w:pStyle w:val="Heading2"/>
      </w:pPr>
      <w:r>
        <w:t xml:space="preserve">2. Credit Risk / Loan Default Prediction</w:t>
      </w:r>
    </w:p>
    <w:p>
      <w:pPr>
        <w:spacing w:after="120"/>
      </w:pPr>
      <w:r>
        <w:t xml:space="preserve">Predict probability that a borrower will default on a loan or credit product.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Rich mix of categorical (employment type, housing status, purpose of loan) and numerical (income, credit score, debt ratios) features. Regulatory and business need for transparent decision logic.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models: </w:t>
      </w:r>
      <w:r>
        <w:t xml:space="preserve">CART trees, Random Forests, Gradient Boosting; often combined with monotonic constraints for fairness/compliance.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success metric: </w:t>
      </w:r>
      <w:r>
        <w:t xml:space="preserve">ROC-AUC, KS statistic, expected loss, and calibration of predicted probabilities.</w:t>
      </w:r>
    </w:p>
    <w:p>
      <w:pPr>
        <w:pStyle w:val="Heading2"/>
      </w:pPr>
      <w:r>
        <w:t xml:space="preserve">3. Marketing Response / Campaign Conversion Prediction</w:t>
      </w:r>
    </w:p>
    <w:p>
      <w:pPr>
        <w:spacing w:after="120"/>
      </w:pPr>
      <w:r>
        <w:t xml:space="preserve">Predict whether a customer will respond to (or convert from) an email, push, or direct-mail campaign.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Extremely similar to CTR — binary outcome, sparse categorical user and campaign features, severe class imbalance, and need for ranking (who to contact first).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models: </w:t>
      </w:r>
      <w:r>
        <w:t xml:space="preserve">Tree ensembles excel; uplift modeling variants can further isolate incremental responders.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success metric: </w:t>
      </w:r>
      <w:r>
        <w:t xml:space="preserve">ROC-AUC, precision-recall, and incremental revenue / cost per conversion.</w:t>
      </w:r>
    </w:p>
    <w:p>
      <w:pPr>
        <w:pStyle w:val="Heading2"/>
      </w:pPr>
      <w:r>
        <w:t xml:space="preserve">4. Transaction Fraud Detection</w:t>
      </w:r>
    </w:p>
    <w:p>
      <w:pPr>
        <w:spacing w:after="120"/>
      </w:pPr>
      <w:r>
        <w:t xml:space="preserve">Classify individual transactions as legitimate or fraudulent in near real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High-cardinality categorical features (merchant category, device, location, time-of-day patterns), extreme imbalance, and requirement for both high recall and low false-positive rate. Trees handle non-linear interactions well.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models: </w:t>
      </w:r>
      <w:r>
        <w:t xml:space="preserve">Random Forest and especially Gradient Boosting / XGBoost are industry standards; isolation-forest variants for unsupervised support.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success metric: </w:t>
      </w:r>
      <w:r>
        <w:t xml:space="preserve">ROC-AUC, Precision-Recall AUC, F1 at operating threshold, and dollars saved vs. customer friction.</w:t>
      </w:r>
    </w:p>
    <w:p>
      <w:pPr>
        <w:pStyle w:val="Heading2"/>
      </w:pPr>
      <w:r>
        <w:t xml:space="preserve">5. E-commerce Purchase / Add-to-Cart Probability</w:t>
      </w:r>
    </w:p>
    <w:p>
      <w:pPr>
        <w:spacing w:after="120"/>
      </w:pPr>
      <w:r>
        <w:t xml:space="preserve">Predict the likelihood that a browsing session or user will convert to a purchase (or add an item to cart).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it fits: </w:t>
      </w:r>
      <w:r>
        <w:t xml:space="preserve">Session-level and user-level categorical features (device, channel, product category, referrer), sequence signals that can be aggregated into tabular form, and direct revenue impact. Almost identical pipeline to ad CTR.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models: </w:t>
      </w:r>
      <w:r>
        <w:t xml:space="preserve">Decision trees for rule-based targeting, ensembles for ranking products or users in real-time recommendation engines.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success metric: </w:t>
      </w:r>
      <w:r>
        <w:t xml:space="preserve">ROC-AUC, conversion rate lift, and revenue attribution.</w:t>
      </w:r>
    </w:p>
    <w:p>
      <w:pPr>
        <w:pStyle w:val="Heading1"/>
      </w:pPr>
      <w:r>
        <w:t xml:space="preserve">Shared Project Template Elements</w:t>
      </w:r>
    </w:p>
    <w:p>
      <w:pPr>
        <w:spacing w:after="120"/>
      </w:pPr>
      <w:r>
        <w:t xml:space="preserve">All five topics can reuse the same core artifacts developed for the ad CTR project:</w:t>
      </w:r>
    </w:p>
    <w:p>
      <w:pPr>
        <w:pStyle w:val="ListParagraph"/>
        <w:numPr>
          <w:ilvl w:val="0"/>
          <w:numId w:val="2"/>
        </w:numPr>
      </w:pPr>
      <w:r>
        <w:t xml:space="preserve">Chronological or carefully stratified train/test splits</w:t>
      </w:r>
    </w:p>
    <w:p>
      <w:pPr>
        <w:pStyle w:val="ListParagraph"/>
        <w:numPr>
          <w:ilvl w:val="0"/>
          <w:numId w:val="2"/>
        </w:numPr>
      </w:pPr>
      <w:r>
        <w:t xml:space="preserve">One-hot or target encoding of high-cardinality categoricals</w:t>
      </w:r>
    </w:p>
    <w:p>
      <w:pPr>
        <w:pStyle w:val="ListParagraph"/>
        <w:numPr>
          <w:ilvl w:val="0"/>
          <w:numId w:val="2"/>
        </w:numPr>
      </w:pPr>
      <w:r>
        <w:t xml:space="preserve">From-scratch decision tree implementation for understanding + scikit-learn / XGBoost for production</w:t>
      </w:r>
    </w:p>
    <w:p>
      <w:pPr>
        <w:pStyle w:val="ListParagraph"/>
        <w:numPr>
          <w:ilvl w:val="0"/>
          <w:numId w:val="2"/>
        </w:numPr>
      </w:pPr>
      <w:r>
        <w:t xml:space="preserve">Grid / random search on tree depth, min samples, and ensemble size</w:t>
      </w:r>
    </w:p>
    <w:p>
      <w:pPr>
        <w:pStyle w:val="ListParagraph"/>
        <w:numPr>
          <w:ilvl w:val="0"/>
          <w:numId w:val="2"/>
        </w:numPr>
      </w:pPr>
      <w:r>
        <w:t xml:space="preserve">ROC-AUC + business-oriented metrics (lift, precision@k, expected value)</w:t>
      </w:r>
    </w:p>
    <w:p>
      <w:pPr>
        <w:pStyle w:val="ListParagraph"/>
        <w:numPr>
          <w:ilvl w:val="0"/>
          <w:numId w:val="2"/>
        </w:numPr>
      </w:pPr>
      <w:r>
        <w:t xml:space="preserve">Feature importance and partial dependence / SHAP for stakeholder communication</w:t>
      </w:r>
    </w:p>
    <w:p>
      <w:pPr>
        <w:pStyle w:val="ListParagraph"/>
        <w:numPr>
          <w:ilvl w:val="0"/>
          <w:numId w:val="2"/>
        </w:numPr>
      </w:pPr>
      <w:r>
        <w:t xml:space="preserve">Reusable Jupyter notebook template and model packaging pipeline</w:t>
      </w:r>
    </w:p>
    <w:p>
      <w:pPr>
        <w:spacing w:before="300"/>
      </w:pPr>
      <w:r>
        <w:rPr>
          <w:i/>
          <w:iCs/>
          <w:sz w:val="20"/>
          <w:szCs w:val="20"/>
        </w:rPr>
        <w:t xml:space="preserve">Recommendation: After completing the ad click-through project, the next highest-ROI application is typically either customer churn or marketing response modeling, depending on the organization’s primary revenue levers.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b/>
        <w:bCs/>
        <w:color w:val="1F4E79"/>
        <w:sz w:val="18"/>
        <w:szCs w:val="18"/>
      </w:rPr>
      <w:t xml:space="preserve">Tree-Based Modeling — Related Applications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2026-08-18T06:21:49.132Z</dcterms:created>
  <dcterms:modified xsi:type="dcterms:W3CDTF">2026-08-18T06:21:49.132Z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