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40"/>
        <w:jc w:val="left"/>
      </w:pPr>
      <w:r>
        <w:rPr>
          <w:rFonts w:ascii="Arial" w:cs="Arial" w:eastAsia="Arial" w:hAnsi="Arial"/>
          <w:b/>
          <w:bCs/>
          <w:i w:val="false"/>
          <w:iCs w:val="false"/>
          <w:color w:val="1A5276"/>
          <w:sz w:val="28"/>
          <w:szCs w:val="28"/>
        </w:rPr>
        <w:t xml:space="preserve">Project memo — writing PTEdu for four audiences</w:t>
      </w:r>
    </w:p>
    <w:p>
      <w:pPr>
        <w:spacing w:after="60" w:before="60" w:line="240"/>
        <w:jc w:val="left"/>
      </w:pPr>
      <w:r>
        <w:rPr>
          <w:rFonts w:ascii="Arial" w:cs="Arial" w:eastAsia="Arial" w:hAnsi="Arial"/>
          <w:b w:val="false"/>
          <w:bCs w:val="false"/>
          <w:i/>
          <w:iCs/>
          <w:color w:val="5D6D7E"/>
          <w:sz w:val="18"/>
          <w:szCs w:val="18"/>
        </w:rPr>
        <w:t xml:space="preserve">Education adaptation of PTIntro. Uses Jočys 2024 + McMurrey audience types. Short name PTEdu.</w:t>
      </w:r>
    </w:p>
    <w:p>
      <w:pPr>
        <w:pStyle w:val="Heading1"/>
        <w:spacing w:after="60" w:before="140"/>
      </w:pPr>
      <w:r>
        <w:rPr>
          <w:rFonts w:ascii="Arial" w:cs="Arial" w:eastAsia="Arial" w:hAnsi="Arial"/>
          <w:b/>
          <w:bCs/>
          <w:color w:val="1A5276"/>
          <w:sz w:val="24"/>
          <w:szCs w:val="24"/>
        </w:rPr>
        <w:t xml:space="preserve">Situation</w:t>
      </w:r>
    </w:p>
    <w:p>
      <w:pPr>
        <w:spacing w:after="60" w:before="60" w:line="240"/>
        <w:jc w:val="left"/>
      </w:pPr>
      <w:r>
        <w:rPr>
          <w:rFonts w:ascii="Arial" w:cs="Arial" w:eastAsia="Arial" w:hAnsi="Arial"/>
          <w:b w:val="false"/>
          <w:bCs w:val="false"/>
          <w:i w:val="false"/>
          <w:iCs w:val="false"/>
          <w:color w:val="1C2833"/>
          <w:sz w:val="21"/>
          <w:szCs w:val="21"/>
        </w:rPr>
        <w:t xml:space="preserve">The artifact is a teaching lab on a synthetic 180-row roster. Readers include a learning-analytics researcher, an SIS/IR technician who will rerun the notebook, a dean who will ask whether this is “AI for student success,” and a family or advisor who only wants to know what the three bands mean. Time spans differ: the 97-vs-69 scale gap is a 10-second aha; the memo can take a longer read.</w:t>
      </w:r>
    </w:p>
    <w:p>
      <w:pPr>
        <w:pStyle w:val="Heading1"/>
        <w:spacing w:after="60" w:before="140"/>
      </w:pPr>
      <w:r>
        <w:rPr>
          <w:rFonts w:ascii="Arial" w:cs="Arial" w:eastAsia="Arial" w:hAnsi="Arial"/>
          <w:b/>
          <w:bCs/>
          <w:color w:val="1A5276"/>
          <w:sz w:val="24"/>
          <w:szCs w:val="24"/>
        </w:rPr>
        <w:t xml:space="preserve">1. Experts — learning analytics / ML</w:t>
      </w:r>
    </w:p>
    <w:p>
      <w:pPr>
        <w:spacing w:after="60" w:before="60" w:line="240"/>
        <w:jc w:val="left"/>
      </w:pPr>
      <w:r>
        <w:rPr>
          <w:rFonts w:ascii="Arial" w:cs="Arial" w:eastAsia="Arial" w:hAnsi="Arial"/>
          <w:b w:val="false"/>
          <w:bCs w:val="false"/>
          <w:i w:val="false"/>
          <w:iCs w:val="false"/>
          <w:color w:val="1C2833"/>
          <w:sz w:val="21"/>
          <w:szCs w:val="21"/>
        </w:rPr>
        <w:t xml:space="preserve">Skip the primer on what a tensor is. Lead with incompatible units, train-only z-score, and the fact that a scaled class-mean already hits 97.22%. The net does not add lift on this table; the ReLU earns its keep on XOR, not on GPA. Abbreviations (CE, EPV, leakage) stay packed. Preferred visual: raw-vs-scaled loss overlay + confusion. One-line limit: n=180, full batch, no fairness audit.</w:t>
      </w:r>
    </w:p>
    <w:p>
      <w:pPr>
        <w:pStyle w:val="Heading1"/>
        <w:spacing w:after="60" w:before="140"/>
      </w:pPr>
      <w:r>
        <w:rPr>
          <w:rFonts w:ascii="Arial" w:cs="Arial" w:eastAsia="Arial" w:hAnsi="Arial"/>
          <w:b/>
          <w:bCs/>
          <w:color w:val="1A5276"/>
          <w:sz w:val="24"/>
          <w:szCs w:val="24"/>
        </w:rPr>
        <w:t xml:space="preserve">2. Technicians — SIS / IR / notebook operators</w:t>
      </w:r>
    </w:p>
    <w:p>
      <w:pPr>
        <w:spacing w:after="60" w:before="60" w:line="240"/>
        <w:jc w:val="left"/>
      </w:pPr>
      <w:r>
        <w:rPr>
          <w:rFonts w:ascii="Arial" w:cs="Arial" w:eastAsia="Arial" w:hAnsi="Arial"/>
          <w:b w:val="false"/>
          <w:bCs w:val="false"/>
          <w:i w:val="false"/>
          <w:iCs w:val="false"/>
          <w:color w:val="1C2833"/>
          <w:sz w:val="21"/>
          <w:szCs w:val="21"/>
        </w:rPr>
        <w:t xml:space="preserve">They build and repair the snippet. Give them the contract in order: dtypes, stratified split, train-only scaler, Module init, five-line loop, eval pair. Spell the crashes (float labels, softmax-then-CE, scaler fit on all 180 rows). Cheatsheet tables beat prose. Sequential alternate is the maintainable spelling. `PTEdu.train_roster(scale=True)` is the function they will actually copy.</w:t>
      </w:r>
    </w:p>
    <w:p>
      <w:pPr>
        <w:pStyle w:val="Heading1"/>
        <w:spacing w:after="60" w:before="140"/>
      </w:pPr>
      <w:r>
        <w:rPr>
          <w:rFonts w:ascii="Arial" w:cs="Arial" w:eastAsia="Arial" w:hAnsi="Arial"/>
          <w:b/>
          <w:bCs/>
          <w:color w:val="1A5276"/>
          <w:sz w:val="24"/>
          <w:szCs w:val="24"/>
        </w:rPr>
        <w:t xml:space="preserve">3. Executives — dean / academic affairs</w:t>
      </w:r>
    </w:p>
    <w:p>
      <w:pPr>
        <w:spacing w:after="60" w:before="60" w:line="240"/>
        <w:jc w:val="left"/>
      </w:pPr>
      <w:r>
        <w:rPr>
          <w:rFonts w:ascii="Arial" w:cs="Arial" w:eastAsia="Arial" w:hAnsi="Arial"/>
          <w:b w:val="false"/>
          <w:bCs w:val="false"/>
          <w:i w:val="false"/>
          <w:iCs w:val="false"/>
          <w:color w:val="1C2833"/>
          <w:sz w:val="21"/>
          <w:szCs w:val="21"/>
        </w:rPr>
        <w:t xml:space="preserve">Jump to the aha: on 36 held-out students the scaled net hits 35/36, the same as a class-mean rule, in seconds on a laptop. The unscaled net falls to 25/36. That is a prototype about data hygiene, not a student-success product. Do not explain autograd. Do explain the consequence: this stack will not assign grades, scholarship cuts, or early-alert flags. A metric table is the finance-friendly view.</w:t>
      </w:r>
    </w:p>
    <w:p>
      <w:pPr>
        <w:pStyle w:val="Heading1"/>
        <w:spacing w:after="60" w:before="140"/>
      </w:pPr>
      <w:r>
        <w:rPr>
          <w:rFonts w:ascii="Arial" w:cs="Arial" w:eastAsia="Arial" w:hAnsi="Arial"/>
          <w:b/>
          <w:bCs/>
          <w:color w:val="1A5276"/>
          <w:sz w:val="24"/>
          <w:szCs w:val="24"/>
        </w:rPr>
        <w:t xml:space="preserve">4. Nonspecialists — family, advisor, student</w:t>
      </w:r>
    </w:p>
    <w:p>
      <w:pPr>
        <w:spacing w:after="60" w:before="60" w:line="240"/>
        <w:jc w:val="left"/>
      </w:pPr>
      <w:r>
        <w:rPr>
          <w:rFonts w:ascii="Arial" w:cs="Arial" w:eastAsia="Arial" w:hAnsi="Arial"/>
          <w:b w:val="false"/>
          <w:bCs w:val="false"/>
          <w:i w:val="false"/>
          <w:iCs w:val="false"/>
          <w:color w:val="1C2833"/>
          <w:sz w:val="21"/>
          <w:szCs w:val="21"/>
        </w:rPr>
        <w:t xml:space="preserve">Four numbers per student. The computer votes for one of three named bands: needs support, on track, honors. It studied 144 students and then tried 36 it had not seen. It got 35 right. The one miss is the two higher bands, which look alike. Bars and the confusion grid are safer than a boxplot of logits. Do not say “cross-entropy.” Say “how surprised the computer was.” The band is a hint for a conversation, not a stamp on a transcript.</w:t>
      </w:r>
    </w:p>
    <w:p>
      <w:pPr>
        <w:pStyle w:val="Heading1"/>
        <w:spacing w:after="60" w:before="140"/>
      </w:pPr>
      <w:r>
        <w:rPr>
          <w:rFonts w:ascii="Arial" w:cs="Arial" w:eastAsia="Arial" w:hAnsi="Arial"/>
          <w:b/>
          <w:bCs/>
          <w:color w:val="1A5276"/>
          <w:sz w:val="24"/>
          <w:szCs w:val="24"/>
        </w:rPr>
        <w:t xml:space="preserve">Mixed audience</w:t>
      </w:r>
    </w:p>
    <w:p>
      <w:pPr>
        <w:spacing w:after="60" w:before="60" w:line="240"/>
        <w:jc w:val="left"/>
      </w:pPr>
      <w:r>
        <w:rPr>
          <w:rFonts w:ascii="Arial" w:cs="Arial" w:eastAsia="Arial" w:hAnsi="Arial"/>
          <w:b w:val="false"/>
          <w:bCs w:val="false"/>
          <w:i w:val="false"/>
          <w:iCs w:val="false"/>
          <w:color w:val="1C2833"/>
          <w:sz w:val="21"/>
          <w:szCs w:val="21"/>
        </w:rPr>
        <w:t xml:space="preserve">Cells 0–2 are the family + dean map. Cells 1–7 are the technician path. Alternates, XOR, and the heatmap are the researcher appendix. That is McMurrey’s “write each section for the audience that will actually open it.”</w:t>
      </w:r>
    </w:p>
    <w:p>
      <w:pPr>
        <w:pStyle w:val="Heading1"/>
        <w:spacing w:after="60" w:before="140"/>
      </w:pPr>
      <w:r>
        <w:rPr>
          <w:rFonts w:ascii="Arial" w:cs="Arial" w:eastAsia="Arial" w:hAnsi="Arial"/>
          <w:b/>
          <w:bCs/>
          <w:color w:val="1A5276"/>
          <w:sz w:val="24"/>
          <w:szCs w:val="24"/>
        </w:rPr>
        <w:t xml:space="preserve">What good / bad means here</w:t>
      </w:r>
    </w:p>
    <w:p>
      <w:pPr>
        <w:spacing w:after="60" w:before="60" w:line="240"/>
        <w:jc w:val="left"/>
      </w:pPr>
      <w:r>
        <w:rPr>
          <w:rFonts w:ascii="Arial" w:cs="Arial" w:eastAsia="Arial" w:hAnsi="Arial"/>
          <w:b w:val="false"/>
          <w:bCs w:val="false"/>
          <w:i w:val="false"/>
          <w:iCs w:val="false"/>
          <w:color w:val="1C2833"/>
          <w:sz w:val="21"/>
          <w:szCs w:val="21"/>
        </w:rPr>
        <w:t xml:space="preserve">97% is good only as evidence the loop and the scaler are wired. It is a weak claim about learning. 69% on raw units is a useful bad number — quote it. 100% after 2,000 epochs is not better. Writing the band to the official record is the actual bad outcome.</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b w:val="false"/>
        <w:bCs w:val="false"/>
        <w:i w:val="false"/>
        <w:iCs w:val="false"/>
        <w:color w:val="5D6D7E"/>
        <w:sz w:val="16"/>
        <w:szCs w:val="16"/>
      </w:rPr>
      <w:t xml:space="preserve">PTEdu project memo  ·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i w:val="false"/>
        <w:iCs w:val="false"/>
        <w:color w:val="5D6D7E"/>
        <w:sz w:val="16"/>
        <w:szCs w:val="16"/>
      </w:rPr>
      <w:t xml:space="preserve">PTEdu  ·  PyTorch tensors + student outcome bands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40"/>
      <w:outlineLvl w:val="0"/>
    </w:pPr>
    <w:rPr>
      <w:rFonts w:ascii="Arial" w:cs="Arial" w:eastAsia="Arial" w:hAnsi="Arial"/>
      <w:b/>
      <w:bCs/>
      <w:color w:val="1A5276"/>
      <w:sz w:val="24"/>
      <w:szCs w:val="24"/>
    </w:rPr>
  </w:style>
  <w:style w:type="paragraph" w:styleId="Heading2">
    <w:name w:val="Heading 2"/>
    <w:basedOn w:val="Normal"/>
    <w:next w:val="Normal"/>
    <w:qFormat/>
    <w:pPr>
      <w:spacing w:after="50" w:before="120"/>
      <w:outlineLvl w:val="1"/>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2026-09-11T08:29:43.003Z</dcterms:created>
  <dcterms:modified xsi:type="dcterms:W3CDTF">2026-09-11T08:29:43.003Z</dcterms:modified>
</cp:coreProperties>
</file>

<file path=docProps/custom.xml><?xml version="1.0" encoding="utf-8"?>
<Properties xmlns="http://schemas.openxmlformats.org/officeDocument/2006/custom-properties" xmlns:vt="http://schemas.openxmlformats.org/officeDocument/2006/docPropsVTypes"/>
</file>