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5276"/>
          <w:sz w:val="28"/>
          <w:szCs w:val="28"/>
        </w:rPr>
        <w:t xml:space="preserve">PTEdu strategy guide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D6D7E"/>
          <w:sz w:val="18"/>
          <w:szCs w:val="18"/>
        </w:rPr>
        <w:t xml:space="preserve">When to reuse this education-sector PyTorch lab, when to walk away, how to swap the roster.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What this template is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PTIntro’s tensor → Module → train-loop shape, pointed at a student-outcome table. The reusable notebook is PTEdu_Reusable_Template.ipynb. The helper module is PTEdu.py. The sector lesson that Iris cannot teach: scale features that live on different units.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Use it when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table is small, classes are mutually exclusive bands, and features are already numeric (or easily parsed to numeric).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teaching goal is the loop + the scaler, not a leaderboard or an early-alert rollout.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You need a four-audience write-up that can travel with an IR / dean packet.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You want a no-sklearn path (this lab ships its own stratified split and scaler).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Do not use it when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Inputs are essays, clickstreams, or video — you need embeddings / sequences first.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The decision is a recorded grade, placement, or discipline action. This stack has no review process.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You need fairness, calibration, or imbalance as the primary lesson — start from EduRisk or LogReg_Assumptions.</w:t>
      </w:r>
    </w:p>
    <w:p>
      <w:pPr>
        <w:pStyle w:val="ListParagraph"/>
        <w:numPr>
          <w:ilvl w:val="0"/>
          <w:numId w:val="2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Every column is already in one unit and you only want the tensor API — PTIntro is shorter.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Swap-the-roster checklist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00"/>
      </w:tblGrid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Knob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1A5276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change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CSV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DATA_PATH — keep students_outcomes.csv as the demo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Columns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FEATURE_COLS + TARGET_COL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Label order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CLASS_ORDER → integers 0..K-1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Scale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leave True unless every column shares a unit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Hidden width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start at 16; 8 is enough for 4 easy features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Loss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CE for exclusive bands; BCEWithLogits for one at-risk logit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Baseline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FFFFFF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always ship a class-mean so 97% is not magic</w:t>
            </w:r>
          </w:p>
        </w:tc>
      </w:tr>
      <w:tr>
        <w:tc>
          <w:tcPr>
            <w:tcW w:type="dxa" w:w="32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Disclaimer</w:t>
            </w:r>
          </w:p>
        </w:tc>
        <w:tc>
          <w:tcPr>
            <w:tcW w:type="dxa" w:w="7600"/>
            <w:tcBorders>
              <w:top w:val="single" w:color="BFCFDA" w:sz="4"/>
              <w:left w:val="single" w:color="BFCFDA" w:sz="4"/>
              <w:bottom w:val="single" w:color="BFCFDA" w:sz="4"/>
              <w:right w:val="single" w:color="BFCFDA" w:sz="4"/>
            </w:tcBorders>
            <w:shd w:fill="EAF2F8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cell 0: not a grading engine</w:t>
            </w:r>
          </w:p>
        </w:tc>
      </w:tr>
    </w:tbl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Simulation knobs that teach</w:t>
      </w:r>
    </w:p>
    <w:p>
      <w:pPr>
        <w:pStyle w:val="ListParagraph"/>
        <w:numPr>
          <w:ilvl w:val="0"/>
          <w:numId w:val="3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SCALE first (True vs False). Learning rate second. Hidden width third. Label noise last — on this roster it barely moves the needle, which is the lesson.</w:t>
      </w:r>
    </w:p>
    <w:p>
      <w:pPr>
        <w:pStyle w:val="ListParagraph"/>
        <w:numPr>
          <w:ilvl w:val="0"/>
          <w:numId w:val="3"/>
        </w:num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Keep the XOR drill. A nearly separable support cluster will not convince anyone that a hidden ReLU exists.</w:t>
      </w:r>
    </w:p>
    <w:p>
      <w:pPr>
        <w:pStyle w:val="Heading1"/>
        <w:spacing w:after="60" w:before="14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Responsible-use line to keep</w:t>
      </w:r>
    </w:p>
    <w:p>
      <w:pPr>
        <w:spacing w:after="60" w:before="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1"/>
          <w:szCs w:val="21"/>
        </w:rPr>
        <w:t xml:space="preserve">PTEdu is a lab. It is not a transcript, not an early-alert product, not a placement exam, and not evidence that the college “has AI for student success.” If a later project reuses the template on a real SIS extract, put that sentence in cell 0 before any accuracy number.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D6D7E"/>
        <w:sz w:val="16"/>
        <w:szCs w:val="16"/>
      </w:rPr>
      <w:t xml:space="preserve">PTEdu strategy guide  ·  </w:t>
    </w:r>
    <w:r>
      <w:rPr>
        <w:rFonts w:ascii="Arial" w:cs="Arial" w:eastAsia="Arial" w:hAnsi="Arial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i w:val="false"/>
        <w:iCs w:val="false"/>
        <w:color w:val="5D6D7E"/>
        <w:sz w:val="16"/>
        <w:szCs w:val="16"/>
      </w:rPr>
      <w:t xml:space="preserve">PTEdu  ·  PyTorch tensors + student outcome bands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40"/>
      <w:outlineLvl w:val="0"/>
    </w:pPr>
    <w:rPr>
      <w:rFonts w:ascii="Arial" w:cs="Arial" w:eastAsia="Arial" w:hAnsi="Arial"/>
      <w:b/>
      <w:bCs/>
      <w:color w:val="1A5276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2026-09-11T08:29:43.241Z</dcterms:created>
  <dcterms:modified xsi:type="dcterms:W3CDTF">2026-09-11T08:29:43.241Z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